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color w:val="auto"/>
          <w:kern w:val="0"/>
          <w:sz w:val="44"/>
          <w:szCs w:val="44"/>
          <w:lang w:val="en" w:eastAsia="zh-CN"/>
        </w:rPr>
      </w:pPr>
      <w:r>
        <w:rPr>
          <w:rFonts w:hint="eastAsia" w:ascii="方正小标宋_GBK" w:hAnsi="方正小标宋_GBK" w:eastAsia="方正小标宋_GBK" w:cs="方正小标宋_GBK"/>
          <w:b w:val="0"/>
          <w:bCs w:val="0"/>
          <w:color w:val="auto"/>
          <w:kern w:val="0"/>
          <w:sz w:val="44"/>
          <w:szCs w:val="44"/>
          <w:lang w:val="en" w:eastAsia="zh-CN"/>
        </w:rPr>
        <w:t>《</w:t>
      </w:r>
      <w:r>
        <w:rPr>
          <w:rFonts w:hint="eastAsia" w:ascii="方正小标宋_GBK" w:hAnsi="方正小标宋_GBK" w:eastAsia="方正小标宋_GBK" w:cs="方正小标宋_GBK"/>
          <w:b w:val="0"/>
          <w:bCs w:val="0"/>
          <w:color w:val="auto"/>
          <w:kern w:val="0"/>
          <w:sz w:val="44"/>
          <w:szCs w:val="44"/>
          <w:lang w:val="en"/>
        </w:rPr>
        <w:t>宁夏回族自治区蔬菜种苗生产经营许可证核发管理办法</w:t>
      </w:r>
      <w:r>
        <w:rPr>
          <w:rFonts w:hint="eastAsia" w:ascii="方正小标宋_GBK" w:hAnsi="方正小标宋_GBK" w:eastAsia="方正小标宋_GBK" w:cs="方正小标宋_GBK"/>
          <w:b w:val="0"/>
          <w:bCs w:val="0"/>
          <w:color w:val="auto"/>
          <w:kern w:val="0"/>
          <w:sz w:val="44"/>
          <w:szCs w:val="44"/>
          <w:lang w:val="en" w:eastAsia="zh-CN"/>
        </w:rPr>
        <w:t>修订草案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kern w:val="0"/>
          <w:sz w:val="44"/>
          <w:szCs w:val="44"/>
          <w:lang w:val="en" w:eastAsia="zh-CN"/>
        </w:rPr>
        <w:t>（征求意见稿）》条文对照</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（原文栏中阴影部分为删减或修改的内容，修改建议栏中黑体字为新增加或修改内容）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color w:val="auto"/>
          <w:sz w:val="32"/>
          <w:szCs w:val="32"/>
          <w:lang w:val="en-US" w:eastAsia="zh-CN"/>
        </w:rPr>
      </w:pPr>
    </w:p>
    <w:tbl>
      <w:tblPr>
        <w:tblStyle w:val="7"/>
        <w:tblW w:w="13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2"/>
        <w:gridCol w:w="5642"/>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642" w:type="dxa"/>
            <w:vAlign w:val="top"/>
          </w:tcPr>
          <w:p>
            <w:pPr>
              <w:jc w:val="center"/>
              <w:rPr>
                <w:rFonts w:hint="default" w:ascii="方正黑体_GBK" w:hAnsi="方正黑体_GBK" w:eastAsia="方正黑体_GBK" w:cs="方正黑体_GBK"/>
                <w:b w:val="0"/>
                <w:bCs w:val="0"/>
                <w:color w:val="auto"/>
                <w:sz w:val="32"/>
                <w:szCs w:val="32"/>
                <w:vertAlign w:val="baseline"/>
                <w:lang w:val="en-US" w:eastAsia="zh-CN"/>
              </w:rPr>
            </w:pPr>
            <w:r>
              <w:rPr>
                <w:rFonts w:hint="eastAsia" w:ascii="方正黑体_GBK" w:hAnsi="方正黑体_GBK" w:eastAsia="方正黑体_GBK" w:cs="方正黑体_GBK"/>
                <w:b w:val="0"/>
                <w:bCs w:val="0"/>
                <w:color w:val="auto"/>
                <w:sz w:val="32"/>
                <w:szCs w:val="32"/>
                <w:vertAlign w:val="baseline"/>
                <w:lang w:val="en-US" w:eastAsia="zh-CN"/>
              </w:rPr>
              <w:t>原文 .</w:t>
            </w:r>
            <w:bookmarkStart w:id="0" w:name="_GoBack"/>
            <w:bookmarkEnd w:id="0"/>
          </w:p>
        </w:tc>
        <w:tc>
          <w:tcPr>
            <w:tcW w:w="5642" w:type="dxa"/>
            <w:vAlign w:val="top"/>
          </w:tcPr>
          <w:p>
            <w:pPr>
              <w:jc w:val="center"/>
              <w:rPr>
                <w:rFonts w:hint="eastAsia" w:ascii="方正黑体_GBK" w:hAnsi="方正黑体_GBK" w:eastAsia="方正黑体_GBK" w:cs="方正黑体_GBK"/>
                <w:b w:val="0"/>
                <w:bCs w:val="0"/>
                <w:color w:val="auto"/>
                <w:sz w:val="32"/>
                <w:szCs w:val="32"/>
                <w:vertAlign w:val="baseline"/>
                <w:lang w:val="en-US" w:eastAsia="zh-CN"/>
              </w:rPr>
            </w:pPr>
            <w:r>
              <w:rPr>
                <w:rFonts w:hint="eastAsia" w:ascii="方正黑体_GBK" w:hAnsi="方正黑体_GBK" w:eastAsia="方正黑体_GBK" w:cs="方正黑体_GBK"/>
                <w:b w:val="0"/>
                <w:bCs w:val="0"/>
                <w:color w:val="auto"/>
                <w:sz w:val="32"/>
                <w:szCs w:val="32"/>
                <w:vertAlign w:val="baseline"/>
                <w:lang w:val="en-US" w:eastAsia="zh-CN"/>
              </w:rPr>
              <w:t>修改建议</w:t>
            </w:r>
          </w:p>
        </w:tc>
        <w:tc>
          <w:tcPr>
            <w:tcW w:w="2463" w:type="dxa"/>
          </w:tcPr>
          <w:p>
            <w:pPr>
              <w:jc w:val="center"/>
              <w:rPr>
                <w:rFonts w:hint="eastAsia" w:ascii="方正黑体_GBK" w:hAnsi="方正黑体_GBK" w:eastAsia="方正黑体_GBK" w:cs="方正黑体_GBK"/>
                <w:b w:val="0"/>
                <w:bCs w:val="0"/>
                <w:color w:val="auto"/>
                <w:sz w:val="32"/>
                <w:szCs w:val="32"/>
                <w:vertAlign w:val="baseline"/>
                <w:lang w:val="en-US" w:eastAsia="zh-CN"/>
              </w:rPr>
            </w:pPr>
            <w:r>
              <w:rPr>
                <w:rFonts w:hint="eastAsia" w:ascii="方正黑体_GBK" w:hAnsi="方正黑体_GBK" w:eastAsia="方正黑体_GBK" w:cs="方正黑体_GBK"/>
                <w:b w:val="0"/>
                <w:bCs w:val="0"/>
                <w:color w:val="auto"/>
                <w:sz w:val="32"/>
                <w:szCs w:val="32"/>
                <w:vertAlign w:val="baseline"/>
                <w:lang w:val="en-US"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2" w:type="dxa"/>
            <w:vAlign w:val="top"/>
          </w:tcPr>
          <w:p>
            <w:pPr>
              <w:ind w:firstLine="422" w:firstLineChars="200"/>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 xml:space="preserve">第一条  </w:t>
            </w:r>
            <w:r>
              <w:rPr>
                <w:rFonts w:hint="eastAsia" w:ascii="宋体" w:hAnsi="宋体" w:eastAsia="宋体" w:cs="宋体"/>
                <w:color w:val="auto"/>
                <w:sz w:val="21"/>
                <w:szCs w:val="21"/>
              </w:rPr>
              <w:t>为加强我区蔬菜种苗生产经营许可管理，规范蔬菜种苗生产经营秩序，根据《中华人民共和国种子法》</w:t>
            </w:r>
            <w:r>
              <w:rPr>
                <w:rFonts w:hint="eastAsia" w:ascii="宋体" w:hAnsi="宋体" w:eastAsia="宋体" w:cs="宋体"/>
                <w:color w:val="auto"/>
                <w:spacing w:val="8"/>
                <w:kern w:val="0"/>
                <w:sz w:val="21"/>
                <w:szCs w:val="21"/>
              </w:rPr>
              <w:t>（</w:t>
            </w:r>
            <w:r>
              <w:rPr>
                <w:rFonts w:hint="eastAsia" w:ascii="宋体" w:hAnsi="宋体" w:eastAsia="宋体" w:cs="宋体"/>
                <w:color w:val="auto"/>
                <w:spacing w:val="8"/>
                <w:kern w:val="0"/>
                <w:sz w:val="21"/>
                <w:szCs w:val="21"/>
                <w:highlight w:val="black"/>
                <w:shd w:val="clear" w:fill="000000" w:themeFill="text1"/>
              </w:rPr>
              <w:t>2015年11月4日第十二届全国人民代表大会常务委员会第十七次会议修订</w:t>
            </w:r>
            <w:r>
              <w:rPr>
                <w:rFonts w:hint="eastAsia" w:ascii="宋体" w:hAnsi="宋体" w:eastAsia="宋体" w:cs="宋体"/>
                <w:color w:val="auto"/>
                <w:spacing w:val="8"/>
                <w:kern w:val="0"/>
                <w:sz w:val="21"/>
                <w:szCs w:val="21"/>
              </w:rPr>
              <w:t>）</w:t>
            </w:r>
            <w:r>
              <w:rPr>
                <w:rFonts w:hint="eastAsia" w:ascii="宋体" w:hAnsi="宋体" w:eastAsia="宋体" w:cs="宋体"/>
                <w:color w:val="auto"/>
                <w:sz w:val="21"/>
                <w:szCs w:val="21"/>
              </w:rPr>
              <w:t>和《农作物种子生产经营许可管理办法》</w:t>
            </w:r>
            <w:r>
              <w:rPr>
                <w:rFonts w:hint="eastAsia" w:ascii="宋体" w:hAnsi="宋体" w:eastAsia="宋体" w:cs="宋体"/>
                <w:color w:val="auto"/>
                <w:spacing w:val="8"/>
                <w:kern w:val="0"/>
                <w:sz w:val="21"/>
                <w:szCs w:val="21"/>
              </w:rPr>
              <w:t>（</w:t>
            </w:r>
            <w:r>
              <w:rPr>
                <w:rFonts w:hint="eastAsia" w:ascii="宋体" w:hAnsi="宋体" w:eastAsia="宋体" w:cs="宋体"/>
                <w:color w:val="auto"/>
                <w:spacing w:val="8"/>
                <w:kern w:val="0"/>
                <w:sz w:val="21"/>
                <w:szCs w:val="21"/>
                <w:highlight w:val="black"/>
                <w:shd w:val="clear" w:fill="000000" w:themeFill="text1"/>
              </w:rPr>
              <w:t>2016年7月8日农业部令第5号公布</w:t>
            </w:r>
            <w:r>
              <w:rPr>
                <w:rFonts w:hint="eastAsia" w:ascii="宋体" w:hAnsi="宋体" w:eastAsia="宋体" w:cs="宋体"/>
                <w:color w:val="auto"/>
                <w:spacing w:val="8"/>
                <w:kern w:val="0"/>
                <w:sz w:val="21"/>
                <w:szCs w:val="21"/>
              </w:rPr>
              <w:t>）</w:t>
            </w:r>
            <w:r>
              <w:rPr>
                <w:rFonts w:hint="eastAsia" w:ascii="宋体" w:hAnsi="宋体" w:eastAsia="宋体" w:cs="宋体"/>
                <w:color w:val="auto"/>
                <w:sz w:val="21"/>
                <w:szCs w:val="21"/>
              </w:rPr>
              <w:t>，结合实际，制定本办法。</w:t>
            </w:r>
          </w:p>
        </w:tc>
        <w:tc>
          <w:tcPr>
            <w:tcW w:w="5642" w:type="dxa"/>
            <w:vAlign w:val="top"/>
          </w:tcPr>
          <w:p>
            <w:pPr>
              <w:ind w:firstLine="422" w:firstLineChars="200"/>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 xml:space="preserve">第一条  </w:t>
            </w:r>
            <w:r>
              <w:rPr>
                <w:rFonts w:hint="eastAsia" w:ascii="宋体" w:hAnsi="宋体" w:eastAsia="宋体" w:cs="宋体"/>
                <w:color w:val="auto"/>
                <w:sz w:val="21"/>
                <w:szCs w:val="21"/>
              </w:rPr>
              <w:t>为加强我区蔬菜种苗生产经营许可管理，规范蔬菜种苗生产经营秩序，根据《中华人民共和国种子法》</w:t>
            </w:r>
            <w:r>
              <w:rPr>
                <w:rFonts w:hint="eastAsia" w:ascii="黑体" w:hAnsi="黑体" w:eastAsia="黑体" w:cs="黑体"/>
                <w:color w:val="auto"/>
                <w:spacing w:val="8"/>
                <w:kern w:val="0"/>
                <w:sz w:val="21"/>
                <w:szCs w:val="21"/>
              </w:rPr>
              <w:t>（</w:t>
            </w:r>
            <w:r>
              <w:rPr>
                <w:rFonts w:hint="eastAsia" w:ascii="黑体" w:hAnsi="黑体" w:eastAsia="黑体" w:cs="黑体"/>
                <w:b/>
                <w:bCs/>
                <w:color w:val="auto"/>
                <w:spacing w:val="8"/>
                <w:kern w:val="0"/>
                <w:sz w:val="21"/>
                <w:szCs w:val="21"/>
                <w:lang w:val="en-US" w:eastAsia="zh-CN"/>
              </w:rPr>
              <w:t>2021</w:t>
            </w:r>
            <w:r>
              <w:rPr>
                <w:rFonts w:hint="eastAsia" w:ascii="黑体" w:hAnsi="黑体" w:eastAsia="黑体" w:cs="黑体"/>
                <w:b/>
                <w:bCs/>
                <w:color w:val="auto"/>
                <w:spacing w:val="8"/>
                <w:kern w:val="0"/>
                <w:sz w:val="21"/>
                <w:szCs w:val="21"/>
              </w:rPr>
              <w:t>年</w:t>
            </w:r>
            <w:r>
              <w:rPr>
                <w:rFonts w:hint="eastAsia" w:ascii="黑体" w:hAnsi="黑体" w:eastAsia="黑体" w:cs="黑体"/>
                <w:b/>
                <w:bCs/>
                <w:color w:val="auto"/>
                <w:spacing w:val="8"/>
                <w:kern w:val="0"/>
                <w:sz w:val="21"/>
                <w:szCs w:val="21"/>
                <w:lang w:val="en-US" w:eastAsia="zh-CN"/>
              </w:rPr>
              <w:t>12</w:t>
            </w:r>
            <w:r>
              <w:rPr>
                <w:rFonts w:hint="eastAsia" w:ascii="黑体" w:hAnsi="黑体" w:eastAsia="黑体" w:cs="黑体"/>
                <w:b/>
                <w:bCs/>
                <w:color w:val="auto"/>
                <w:spacing w:val="8"/>
                <w:kern w:val="0"/>
                <w:sz w:val="21"/>
                <w:szCs w:val="21"/>
              </w:rPr>
              <w:t>月</w:t>
            </w:r>
            <w:r>
              <w:rPr>
                <w:rFonts w:hint="eastAsia" w:ascii="黑体" w:hAnsi="黑体" w:eastAsia="黑体" w:cs="黑体"/>
                <w:b/>
                <w:bCs/>
                <w:color w:val="auto"/>
                <w:spacing w:val="8"/>
                <w:kern w:val="0"/>
                <w:sz w:val="21"/>
                <w:szCs w:val="21"/>
                <w:lang w:val="en-US" w:eastAsia="zh-CN"/>
              </w:rPr>
              <w:t>24</w:t>
            </w:r>
            <w:r>
              <w:rPr>
                <w:rFonts w:hint="eastAsia" w:ascii="黑体" w:hAnsi="黑体" w:eastAsia="黑体" w:cs="黑体"/>
                <w:b/>
                <w:bCs/>
                <w:color w:val="auto"/>
                <w:spacing w:val="8"/>
                <w:kern w:val="0"/>
                <w:sz w:val="21"/>
                <w:szCs w:val="21"/>
              </w:rPr>
              <w:t>日第十</w:t>
            </w:r>
            <w:r>
              <w:rPr>
                <w:rFonts w:hint="eastAsia" w:ascii="黑体" w:hAnsi="黑体" w:eastAsia="黑体" w:cs="黑体"/>
                <w:b/>
                <w:bCs/>
                <w:color w:val="auto"/>
                <w:spacing w:val="8"/>
                <w:kern w:val="0"/>
                <w:sz w:val="21"/>
                <w:szCs w:val="21"/>
                <w:lang w:eastAsia="zh-CN"/>
              </w:rPr>
              <w:t>三</w:t>
            </w:r>
            <w:r>
              <w:rPr>
                <w:rFonts w:hint="eastAsia" w:ascii="黑体" w:hAnsi="黑体" w:eastAsia="黑体" w:cs="黑体"/>
                <w:b/>
                <w:bCs/>
                <w:color w:val="auto"/>
                <w:spacing w:val="8"/>
                <w:kern w:val="0"/>
                <w:sz w:val="21"/>
                <w:szCs w:val="21"/>
              </w:rPr>
              <w:t>届全国人民代表大会常务委员会第</w:t>
            </w:r>
            <w:r>
              <w:rPr>
                <w:rFonts w:hint="eastAsia" w:ascii="黑体" w:hAnsi="黑体" w:eastAsia="黑体" w:cs="黑体"/>
                <w:b/>
                <w:bCs/>
                <w:color w:val="auto"/>
                <w:spacing w:val="8"/>
                <w:kern w:val="0"/>
                <w:sz w:val="21"/>
                <w:szCs w:val="21"/>
                <w:lang w:eastAsia="zh-CN"/>
              </w:rPr>
              <w:t>三十二</w:t>
            </w:r>
            <w:r>
              <w:rPr>
                <w:rFonts w:hint="eastAsia" w:ascii="黑体" w:hAnsi="黑体" w:eastAsia="黑体" w:cs="黑体"/>
                <w:b/>
                <w:bCs/>
                <w:color w:val="auto"/>
                <w:spacing w:val="8"/>
                <w:kern w:val="0"/>
                <w:sz w:val="21"/>
                <w:szCs w:val="21"/>
              </w:rPr>
              <w:t>次会议</w:t>
            </w:r>
            <w:r>
              <w:rPr>
                <w:rFonts w:hint="eastAsia" w:ascii="黑体" w:hAnsi="黑体" w:eastAsia="黑体" w:cs="黑体"/>
                <w:b/>
                <w:bCs/>
                <w:color w:val="auto"/>
                <w:spacing w:val="8"/>
                <w:kern w:val="0"/>
                <w:sz w:val="21"/>
                <w:szCs w:val="21"/>
                <w:lang w:eastAsia="zh-CN"/>
              </w:rPr>
              <w:t>《关于修改</w:t>
            </w:r>
            <w:r>
              <w:rPr>
                <w:rFonts w:hint="eastAsia" w:ascii="黑体" w:hAnsi="黑体" w:eastAsia="黑体" w:cs="黑体"/>
                <w:b/>
                <w:bCs/>
                <w:color w:val="auto"/>
                <w:sz w:val="21"/>
                <w:szCs w:val="21"/>
                <w:lang w:val="en-US" w:eastAsia="zh-CN"/>
              </w:rPr>
              <w:t>&lt;中华人民共和国种子法&gt;的决定》第三次</w:t>
            </w:r>
            <w:r>
              <w:rPr>
                <w:rFonts w:hint="eastAsia" w:ascii="黑体" w:hAnsi="黑体" w:eastAsia="黑体" w:cs="黑体"/>
                <w:b/>
                <w:bCs/>
                <w:color w:val="auto"/>
                <w:sz w:val="21"/>
                <w:szCs w:val="21"/>
                <w:lang w:eastAsia="zh-CN"/>
              </w:rPr>
              <w:t>修正</w:t>
            </w:r>
            <w:r>
              <w:rPr>
                <w:rFonts w:hint="eastAsia" w:ascii="黑体" w:hAnsi="黑体" w:eastAsia="黑体" w:cs="黑体"/>
                <w:color w:val="auto"/>
                <w:sz w:val="21"/>
                <w:szCs w:val="21"/>
              </w:rPr>
              <w:t>）</w:t>
            </w:r>
            <w:r>
              <w:rPr>
                <w:rFonts w:hint="eastAsia" w:ascii="宋体" w:hAnsi="宋体" w:eastAsia="宋体" w:cs="宋体"/>
                <w:color w:val="auto"/>
                <w:sz w:val="21"/>
                <w:szCs w:val="21"/>
              </w:rPr>
              <w:t>和《农作物种子生产经营许可管理办法》</w:t>
            </w:r>
            <w:r>
              <w:rPr>
                <w:rFonts w:hint="eastAsia" w:ascii="黑体" w:hAnsi="黑体" w:eastAsia="黑体" w:cs="黑体"/>
                <w:b/>
                <w:bCs/>
                <w:color w:val="auto"/>
                <w:sz w:val="21"/>
                <w:szCs w:val="21"/>
              </w:rPr>
              <w:t>（2022年1月21日农业农村部令2022年第2号修订）</w:t>
            </w:r>
            <w:r>
              <w:rPr>
                <w:rFonts w:hint="eastAsia" w:ascii="宋体" w:hAnsi="宋体" w:eastAsia="宋体" w:cs="宋体"/>
                <w:color w:val="auto"/>
                <w:sz w:val="21"/>
                <w:szCs w:val="21"/>
              </w:rPr>
              <w:t>，结合实际，制定本办法。</w:t>
            </w:r>
          </w:p>
        </w:tc>
        <w:tc>
          <w:tcPr>
            <w:tcW w:w="2463" w:type="dxa"/>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lang w:val="en-US" w:eastAsia="zh-CN"/>
              </w:rPr>
              <w:t>《种子法》于2021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日第十</w:t>
            </w:r>
            <w:r>
              <w:rPr>
                <w:rFonts w:hint="eastAsia" w:ascii="宋体" w:hAnsi="宋体" w:eastAsia="宋体" w:cs="宋体"/>
                <w:color w:val="auto"/>
                <w:sz w:val="21"/>
                <w:szCs w:val="21"/>
                <w:lang w:eastAsia="zh-CN"/>
              </w:rPr>
              <w:t>三</w:t>
            </w:r>
            <w:r>
              <w:rPr>
                <w:rFonts w:hint="eastAsia" w:ascii="宋体" w:hAnsi="宋体" w:eastAsia="宋体" w:cs="宋体"/>
                <w:color w:val="auto"/>
                <w:sz w:val="21"/>
                <w:szCs w:val="21"/>
              </w:rPr>
              <w:t>届全国人民代表大会常务委员会第</w:t>
            </w:r>
            <w:r>
              <w:rPr>
                <w:rFonts w:hint="eastAsia" w:ascii="宋体" w:hAnsi="宋体" w:eastAsia="宋体" w:cs="宋体"/>
                <w:color w:val="auto"/>
                <w:sz w:val="21"/>
                <w:szCs w:val="21"/>
                <w:lang w:eastAsia="zh-CN"/>
              </w:rPr>
              <w:t>三十二</w:t>
            </w:r>
            <w:r>
              <w:rPr>
                <w:rFonts w:hint="eastAsia" w:ascii="宋体" w:hAnsi="宋体" w:eastAsia="宋体" w:cs="宋体"/>
                <w:color w:val="auto"/>
                <w:sz w:val="21"/>
                <w:szCs w:val="21"/>
              </w:rPr>
              <w:t>次会议</w:t>
            </w:r>
            <w:r>
              <w:rPr>
                <w:rFonts w:hint="eastAsia" w:ascii="宋体" w:hAnsi="宋体" w:eastAsia="宋体" w:cs="宋体"/>
                <w:color w:val="auto"/>
                <w:sz w:val="21"/>
                <w:szCs w:val="21"/>
                <w:lang w:eastAsia="zh-CN"/>
              </w:rPr>
              <w:t>通过修正，</w:t>
            </w:r>
            <w:r>
              <w:rPr>
                <w:rFonts w:hint="eastAsia" w:ascii="宋体" w:hAnsi="宋体" w:eastAsia="宋体" w:cs="宋体"/>
                <w:color w:val="auto"/>
                <w:sz w:val="21"/>
                <w:szCs w:val="21"/>
              </w:rPr>
              <w:t>《农作物种子生产经营许可管理办法》</w:t>
            </w:r>
            <w:r>
              <w:rPr>
                <w:rFonts w:hint="eastAsia" w:ascii="宋体" w:hAnsi="宋体" w:eastAsia="宋体" w:cs="宋体"/>
                <w:color w:val="auto"/>
                <w:sz w:val="21"/>
                <w:szCs w:val="21"/>
                <w:lang w:eastAsia="zh-CN"/>
              </w:rPr>
              <w:t>于</w:t>
            </w:r>
            <w:r>
              <w:rPr>
                <w:rFonts w:hint="eastAsia" w:ascii="宋体" w:hAnsi="宋体" w:eastAsia="宋体" w:cs="宋体"/>
                <w:color w:val="auto"/>
                <w:sz w:val="21"/>
                <w:szCs w:val="21"/>
              </w:rPr>
              <w:t>2022年1月21日农业农村部令2022年第2号修订</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2" w:type="dxa"/>
            <w:vAlign w:val="top"/>
          </w:tcPr>
          <w:p>
            <w:pPr>
              <w:ind w:firstLine="422" w:firstLineChars="200"/>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 xml:space="preserve">第二条  </w:t>
            </w:r>
            <w:r>
              <w:rPr>
                <w:rFonts w:hint="eastAsia" w:ascii="宋体" w:hAnsi="宋体" w:eastAsia="宋体" w:cs="宋体"/>
                <w:color w:val="auto"/>
                <w:sz w:val="21"/>
                <w:szCs w:val="21"/>
              </w:rPr>
              <w:t>本办法所称种苗是指蔬菜种子或繁殖材料生长到适宜定植状态的植株。</w:t>
            </w:r>
          </w:p>
        </w:tc>
        <w:tc>
          <w:tcPr>
            <w:tcW w:w="5642" w:type="dxa"/>
            <w:vAlign w:val="top"/>
          </w:tcPr>
          <w:p>
            <w:pPr>
              <w:ind w:firstLine="422" w:firstLineChars="200"/>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 xml:space="preserve">第二条  </w:t>
            </w:r>
            <w:r>
              <w:rPr>
                <w:rFonts w:hint="eastAsia" w:ascii="宋体" w:hAnsi="宋体" w:eastAsia="宋体" w:cs="宋体"/>
                <w:color w:val="auto"/>
                <w:sz w:val="21"/>
                <w:szCs w:val="21"/>
              </w:rPr>
              <w:t>本办法所称种苗是指蔬菜种子或繁殖材料生长到适宜定植状态的植株。</w:t>
            </w:r>
          </w:p>
        </w:tc>
        <w:tc>
          <w:tcPr>
            <w:tcW w:w="2463" w:type="dxa"/>
          </w:tcPr>
          <w:p>
            <w:pPr>
              <w:jc w:val="both"/>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2" w:type="dxa"/>
            <w:vAlign w:val="top"/>
          </w:tcPr>
          <w:p>
            <w:pPr>
              <w:widowControl w:val="0"/>
              <w:spacing w:line="240" w:lineRule="auto"/>
              <w:ind w:firstLine="422" w:firstLineChars="200"/>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 xml:space="preserve">第三条  </w:t>
            </w:r>
            <w:r>
              <w:rPr>
                <w:rFonts w:hint="eastAsia" w:ascii="宋体" w:hAnsi="宋体" w:eastAsia="宋体" w:cs="宋体"/>
                <w:color w:val="auto"/>
                <w:sz w:val="21"/>
                <w:szCs w:val="21"/>
              </w:rPr>
              <w:t>蔬菜种苗生产经营许可证的受理、审核、核发和</w:t>
            </w:r>
            <w:r>
              <w:rPr>
                <w:rFonts w:hint="eastAsia" w:ascii="宋体" w:hAnsi="宋体" w:eastAsia="宋体" w:cs="宋体"/>
                <w:color w:val="auto"/>
                <w:spacing w:val="8"/>
                <w:kern w:val="0"/>
                <w:sz w:val="21"/>
                <w:szCs w:val="21"/>
                <w:highlight w:val="black"/>
                <w:shd w:val="clear" w:fill="000000" w:themeFill="text1"/>
              </w:rPr>
              <w:t>管理</w:t>
            </w:r>
            <w:r>
              <w:rPr>
                <w:rFonts w:hint="eastAsia" w:ascii="宋体" w:hAnsi="宋体" w:eastAsia="宋体" w:cs="宋体"/>
                <w:color w:val="auto"/>
                <w:sz w:val="21"/>
                <w:szCs w:val="21"/>
              </w:rPr>
              <w:t>工作由种苗生产经营者所在地县级以上地方人民政府</w:t>
            </w:r>
            <w:r>
              <w:rPr>
                <w:rFonts w:hint="eastAsia" w:ascii="宋体" w:hAnsi="宋体" w:eastAsia="宋体" w:cs="宋体"/>
                <w:color w:val="auto"/>
                <w:spacing w:val="8"/>
                <w:kern w:val="0"/>
                <w:sz w:val="21"/>
                <w:szCs w:val="21"/>
                <w:highlight w:val="black"/>
                <w:shd w:val="clear" w:fill="000000" w:themeFill="text1"/>
              </w:rPr>
              <w:t>农业主管部门</w:t>
            </w:r>
            <w:r>
              <w:rPr>
                <w:rFonts w:hint="eastAsia" w:ascii="宋体" w:hAnsi="宋体" w:eastAsia="宋体" w:cs="宋体"/>
                <w:color w:val="auto"/>
                <w:sz w:val="21"/>
                <w:szCs w:val="21"/>
              </w:rPr>
              <w:t>负责。</w:t>
            </w:r>
          </w:p>
        </w:tc>
        <w:tc>
          <w:tcPr>
            <w:tcW w:w="5642" w:type="dxa"/>
            <w:vAlign w:val="top"/>
          </w:tcPr>
          <w:p>
            <w:pPr>
              <w:ind w:firstLine="422" w:firstLineChars="200"/>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 xml:space="preserve">第三条  </w:t>
            </w:r>
            <w:r>
              <w:rPr>
                <w:rFonts w:hint="eastAsia" w:ascii="宋体" w:hAnsi="宋体" w:eastAsia="宋体" w:cs="宋体"/>
                <w:color w:val="auto"/>
                <w:sz w:val="21"/>
                <w:szCs w:val="21"/>
              </w:rPr>
              <w:t>蔬菜种苗生产经营许可证的受理、审核、核发和</w:t>
            </w:r>
            <w:r>
              <w:rPr>
                <w:rFonts w:hint="eastAsia" w:ascii="黑体" w:hAnsi="黑体" w:eastAsia="黑体" w:cs="黑体"/>
                <w:b/>
                <w:bCs/>
                <w:color w:val="auto"/>
                <w:sz w:val="21"/>
                <w:szCs w:val="21"/>
                <w:lang w:eastAsia="zh-CN"/>
              </w:rPr>
              <w:t>监管</w:t>
            </w:r>
            <w:r>
              <w:rPr>
                <w:rFonts w:hint="eastAsia" w:ascii="宋体" w:hAnsi="宋体" w:eastAsia="宋体" w:cs="宋体"/>
                <w:color w:val="auto"/>
                <w:sz w:val="21"/>
                <w:szCs w:val="21"/>
              </w:rPr>
              <w:t>工作由种苗生产经营者所在地县级以上地方人民政府</w:t>
            </w:r>
            <w:r>
              <w:rPr>
                <w:rFonts w:hint="eastAsia" w:ascii="黑体" w:hAnsi="黑体" w:eastAsia="黑体" w:cs="黑体"/>
                <w:b/>
                <w:bCs/>
                <w:color w:val="auto"/>
                <w:sz w:val="21"/>
                <w:szCs w:val="21"/>
              </w:rPr>
              <w:t>农业</w:t>
            </w:r>
            <w:r>
              <w:rPr>
                <w:rFonts w:hint="eastAsia" w:ascii="黑体" w:hAnsi="黑体" w:eastAsia="黑体" w:cs="黑体"/>
                <w:b/>
                <w:bCs/>
                <w:color w:val="auto"/>
                <w:sz w:val="21"/>
                <w:szCs w:val="21"/>
                <w:lang w:eastAsia="zh-CN"/>
              </w:rPr>
              <w:t>农村</w:t>
            </w:r>
            <w:r>
              <w:rPr>
                <w:rFonts w:hint="eastAsia" w:ascii="黑体" w:hAnsi="黑体" w:eastAsia="黑体" w:cs="黑体"/>
                <w:b/>
                <w:bCs/>
                <w:color w:val="auto"/>
                <w:sz w:val="21"/>
                <w:szCs w:val="21"/>
              </w:rPr>
              <w:t>主管部门</w:t>
            </w:r>
            <w:r>
              <w:rPr>
                <w:rFonts w:hint="eastAsia" w:ascii="宋体" w:hAnsi="宋体" w:eastAsia="宋体" w:cs="宋体"/>
                <w:color w:val="auto"/>
                <w:sz w:val="21"/>
                <w:szCs w:val="21"/>
              </w:rPr>
              <w:t>负责。</w:t>
            </w:r>
          </w:p>
        </w:tc>
        <w:tc>
          <w:tcPr>
            <w:tcW w:w="2463" w:type="dxa"/>
          </w:tcPr>
          <w:p>
            <w:pPr>
              <w:jc w:val="both"/>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 xml:space="preserve">与上位法保持一致；上位法及机构改革主管部门名称变更。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642" w:type="dxa"/>
            <w:vAlign w:val="top"/>
          </w:tcPr>
          <w:p>
            <w:pPr>
              <w:widowControl w:val="0"/>
              <w:spacing w:line="240" w:lineRule="auto"/>
              <w:ind w:firstLine="422" w:firstLineChars="200"/>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 xml:space="preserve">第四条  </w:t>
            </w:r>
            <w:r>
              <w:rPr>
                <w:rFonts w:hint="eastAsia" w:ascii="宋体" w:hAnsi="宋体" w:eastAsia="宋体" w:cs="宋体"/>
                <w:color w:val="auto"/>
                <w:sz w:val="21"/>
                <w:szCs w:val="21"/>
              </w:rPr>
              <w:t>申请领取蔬菜种苗生产经营许可证，应当具有与种苗生产经营相适应的设施、设备、品种及人员，符合本办法</w:t>
            </w:r>
            <w:r>
              <w:rPr>
                <w:rFonts w:hint="eastAsia" w:ascii="宋体" w:hAnsi="宋体" w:eastAsia="宋体" w:cs="宋体"/>
                <w:color w:val="auto"/>
                <w:spacing w:val="8"/>
                <w:kern w:val="0"/>
                <w:sz w:val="21"/>
                <w:szCs w:val="21"/>
                <w:highlight w:val="black"/>
                <w:shd w:val="clear" w:fill="000000" w:themeFill="text1"/>
              </w:rPr>
              <w:t>规定</w:t>
            </w:r>
            <w:r>
              <w:rPr>
                <w:rFonts w:hint="eastAsia" w:ascii="宋体" w:hAnsi="宋体" w:eastAsia="宋体" w:cs="宋体"/>
                <w:color w:val="auto"/>
                <w:sz w:val="21"/>
                <w:szCs w:val="21"/>
              </w:rPr>
              <w:t>。</w:t>
            </w:r>
          </w:p>
        </w:tc>
        <w:tc>
          <w:tcPr>
            <w:tcW w:w="5642" w:type="dxa"/>
            <w:vAlign w:val="top"/>
          </w:tcPr>
          <w:p>
            <w:pPr>
              <w:ind w:firstLine="422" w:firstLineChars="200"/>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 xml:space="preserve">第四条  </w:t>
            </w:r>
            <w:r>
              <w:rPr>
                <w:rFonts w:hint="eastAsia" w:ascii="宋体" w:hAnsi="宋体" w:eastAsia="宋体" w:cs="宋体"/>
                <w:color w:val="auto"/>
                <w:sz w:val="21"/>
                <w:szCs w:val="21"/>
              </w:rPr>
              <w:t>申请领取蔬菜种苗生产经营许可证</w:t>
            </w:r>
            <w:r>
              <w:rPr>
                <w:rFonts w:hint="eastAsia" w:ascii="黑体" w:hAnsi="黑体" w:eastAsia="黑体" w:cs="黑体"/>
                <w:b/>
                <w:bCs/>
                <w:color w:val="auto"/>
                <w:sz w:val="21"/>
                <w:szCs w:val="21"/>
                <w:lang w:eastAsia="zh-CN"/>
              </w:rPr>
              <w:t>的企业</w:t>
            </w:r>
            <w:r>
              <w:rPr>
                <w:rFonts w:hint="eastAsia" w:ascii="宋体" w:hAnsi="宋体" w:eastAsia="宋体" w:cs="宋体"/>
                <w:color w:val="auto"/>
                <w:sz w:val="21"/>
                <w:szCs w:val="21"/>
              </w:rPr>
              <w:t>，应当具有与种苗生产经营相适应的设施、设备、品种及人员，符合本办法规定</w:t>
            </w:r>
            <w:r>
              <w:rPr>
                <w:rFonts w:hint="eastAsia" w:ascii="黑体" w:hAnsi="黑体" w:eastAsia="黑体" w:cs="黑体"/>
                <w:b/>
                <w:bCs/>
                <w:color w:val="auto"/>
                <w:sz w:val="21"/>
                <w:szCs w:val="21"/>
                <w:lang w:eastAsia="zh-CN"/>
              </w:rPr>
              <w:t>的条件</w:t>
            </w:r>
            <w:r>
              <w:rPr>
                <w:rFonts w:hint="eastAsia" w:ascii="宋体" w:hAnsi="宋体" w:eastAsia="宋体" w:cs="宋体"/>
                <w:color w:val="auto"/>
                <w:sz w:val="21"/>
                <w:szCs w:val="21"/>
              </w:rPr>
              <w:t>。</w:t>
            </w:r>
          </w:p>
        </w:tc>
        <w:tc>
          <w:tcPr>
            <w:tcW w:w="2463" w:type="dxa"/>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与上位法保持一致。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2" w:type="dxa"/>
            <w:vAlign w:val="top"/>
          </w:tcPr>
          <w:p>
            <w:pPr>
              <w:widowControl w:val="0"/>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第五条  </w:t>
            </w:r>
            <w:r>
              <w:rPr>
                <w:rFonts w:hint="eastAsia" w:ascii="宋体" w:hAnsi="宋体" w:eastAsia="宋体" w:cs="宋体"/>
                <w:color w:val="auto"/>
                <w:sz w:val="21"/>
                <w:szCs w:val="21"/>
              </w:rPr>
              <w:t>申请领取蔬菜种苗生产经营许可证的企业，应当具备以下条件：</w:t>
            </w:r>
          </w:p>
          <w:p>
            <w:pPr>
              <w:widowControl w:val="0"/>
              <w:spacing w:line="240" w:lineRule="auto"/>
              <w:ind w:firstLine="420" w:firstLineChars="200"/>
              <w:rPr>
                <w:rFonts w:hint="eastAsia" w:ascii="宋体" w:hAnsi="宋体" w:eastAsia="宋体" w:cs="宋体"/>
                <w:color w:val="auto"/>
                <w:spacing w:val="8"/>
                <w:kern w:val="0"/>
                <w:sz w:val="21"/>
                <w:szCs w:val="21"/>
                <w:highlight w:val="none"/>
                <w:shd w:val="clear" w:fill="000000" w:themeFill="text1"/>
              </w:rPr>
            </w:pPr>
            <w:r>
              <w:rPr>
                <w:rFonts w:hint="eastAsia" w:ascii="宋体" w:hAnsi="宋体" w:eastAsia="宋体" w:cs="宋体"/>
                <w:color w:val="auto"/>
                <w:sz w:val="21"/>
                <w:szCs w:val="21"/>
              </w:rPr>
              <w:t>（一）基本设施。具有办公场所</w:t>
            </w:r>
            <w:r>
              <w:rPr>
                <w:rFonts w:hint="eastAsia" w:ascii="宋体" w:hAnsi="宋体" w:eastAsia="宋体" w:cs="宋体"/>
                <w:color w:val="auto"/>
                <w:spacing w:val="8"/>
                <w:kern w:val="0"/>
                <w:sz w:val="21"/>
                <w:szCs w:val="21"/>
                <w:highlight w:val="black"/>
                <w:shd w:val="clear" w:fill="000000" w:themeFill="text1"/>
              </w:rPr>
              <w:t>20</w:t>
            </w:r>
            <w:r>
              <w:rPr>
                <w:rFonts w:hint="eastAsia" w:ascii="宋体" w:hAnsi="宋体" w:eastAsia="宋体" w:cs="宋体"/>
                <w:color w:val="auto"/>
                <w:sz w:val="21"/>
                <w:szCs w:val="21"/>
              </w:rPr>
              <w:t>平方米以上、检验室</w:t>
            </w:r>
            <w:r>
              <w:rPr>
                <w:rFonts w:hint="eastAsia" w:ascii="宋体" w:hAnsi="宋体" w:eastAsia="宋体" w:cs="宋体"/>
                <w:color w:val="auto"/>
                <w:spacing w:val="8"/>
                <w:kern w:val="0"/>
                <w:sz w:val="21"/>
                <w:szCs w:val="21"/>
                <w:highlight w:val="black"/>
                <w:shd w:val="clear" w:fill="000000" w:themeFill="text1"/>
              </w:rPr>
              <w:t>20</w:t>
            </w:r>
            <w:r>
              <w:rPr>
                <w:rFonts w:hint="eastAsia" w:ascii="宋体" w:hAnsi="宋体" w:eastAsia="宋体" w:cs="宋体"/>
                <w:color w:val="auto"/>
                <w:sz w:val="21"/>
                <w:szCs w:val="21"/>
              </w:rPr>
              <w:t>平方米以上、</w:t>
            </w:r>
            <w:r>
              <w:rPr>
                <w:rFonts w:hint="eastAsia" w:ascii="宋体" w:hAnsi="宋体" w:eastAsia="宋体" w:cs="宋体"/>
                <w:color w:val="auto"/>
                <w:spacing w:val="8"/>
                <w:kern w:val="0"/>
                <w:sz w:val="21"/>
                <w:szCs w:val="21"/>
                <w:highlight w:val="black"/>
                <w:shd w:val="clear" w:fill="000000" w:themeFill="text1"/>
              </w:rPr>
              <w:t>播种室20平方米以上、苗床面积2000平方米以上的育苗设施、育苗垃圾处理场所；</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（二）检验仪器。具有光照培养箱、生物显微镜、培养皿等能够满足蔬菜种苗（种子）质量检验及健康检验需要的仪器设备；</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（三）生产设备。具有播种机，配套的供暖、降温散热、光照调节、温湿度监控、灌溉施肥用药、防虫治虫、消毒设施等育苗所需的设备；</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（四）人员。</w:t>
            </w:r>
            <w:r>
              <w:rPr>
                <w:rFonts w:hint="eastAsia" w:ascii="宋体" w:hAnsi="宋体" w:eastAsia="宋体" w:cs="宋体"/>
                <w:color w:val="auto"/>
                <w:spacing w:val="8"/>
                <w:kern w:val="0"/>
                <w:sz w:val="21"/>
                <w:szCs w:val="21"/>
                <w:highlight w:val="black"/>
                <w:shd w:val="clear" w:fill="000000" w:themeFill="text1"/>
              </w:rPr>
              <w:t>具有种苗生产、检验</w:t>
            </w:r>
            <w:r>
              <w:rPr>
                <w:rFonts w:hint="eastAsia" w:ascii="宋体" w:hAnsi="宋体" w:eastAsia="宋体" w:cs="宋体"/>
                <w:color w:val="auto"/>
                <w:sz w:val="21"/>
                <w:szCs w:val="21"/>
              </w:rPr>
              <w:t>专业技术人员各2名以上；</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（五）品种。生产经营列入《非主要农作物品种登记目录》的蔬菜作物，品种应是经农业农村部登记公告的。</w:t>
            </w:r>
            <w:r>
              <w:rPr>
                <w:rFonts w:hint="eastAsia" w:ascii="宋体" w:hAnsi="宋体" w:eastAsia="宋体" w:cs="宋体"/>
                <w:color w:val="auto"/>
                <w:spacing w:val="8"/>
                <w:kern w:val="0"/>
                <w:sz w:val="21"/>
                <w:szCs w:val="21"/>
                <w:highlight w:val="black"/>
                <w:shd w:val="clear" w:fill="000000" w:themeFill="text1"/>
              </w:rPr>
              <w:t>生产经营授权品种的，应当征得品种权人的书面同意或种子生产经营者提供的品种权人授权其生产经营的书面同意。</w:t>
            </w:r>
            <w:r>
              <w:rPr>
                <w:rFonts w:hint="eastAsia" w:ascii="宋体" w:hAnsi="宋体" w:eastAsia="宋体" w:cs="宋体"/>
                <w:color w:val="auto"/>
                <w:sz w:val="21"/>
                <w:szCs w:val="21"/>
              </w:rPr>
              <w:t>种苗生产经营许可证生产经营范围应注明企业所生产经营的蔬菜名称；</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（六）生产环境。种苗生产</w:t>
            </w:r>
            <w:r>
              <w:rPr>
                <w:rFonts w:hint="eastAsia" w:ascii="宋体" w:hAnsi="宋体" w:eastAsia="宋体" w:cs="宋体"/>
                <w:color w:val="auto"/>
                <w:spacing w:val="8"/>
                <w:kern w:val="0"/>
                <w:sz w:val="21"/>
                <w:szCs w:val="21"/>
                <w:highlight w:val="black"/>
                <w:shd w:val="clear" w:fill="000000" w:themeFill="text1"/>
              </w:rPr>
              <w:t>基地应无植物检疫对象分布，无污染源；</w:t>
            </w:r>
          </w:p>
          <w:p>
            <w:pPr>
              <w:widowControl w:val="0"/>
              <w:spacing w:line="240" w:lineRule="auto"/>
              <w:ind w:firstLine="420" w:firstLineChars="200"/>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（七）法律法规规定的其他条件。</w:t>
            </w:r>
          </w:p>
        </w:tc>
        <w:tc>
          <w:tcPr>
            <w:tcW w:w="5642" w:type="dxa"/>
            <w:vAlign w:val="top"/>
          </w:tcPr>
          <w:p>
            <w:pPr>
              <w:widowControl w:val="0"/>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第五条  </w:t>
            </w:r>
            <w:r>
              <w:rPr>
                <w:rFonts w:hint="eastAsia" w:ascii="宋体" w:hAnsi="宋体" w:eastAsia="宋体" w:cs="宋体"/>
                <w:color w:val="auto"/>
                <w:sz w:val="21"/>
                <w:szCs w:val="21"/>
              </w:rPr>
              <w:t>申请领取蔬菜种苗生产经营许可证的企业，应当具备以下条件：</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（一）基本设施。具有办公场所</w:t>
            </w:r>
            <w:r>
              <w:rPr>
                <w:rFonts w:hint="eastAsia" w:ascii="黑体" w:hAnsi="黑体" w:eastAsia="黑体" w:cs="黑体"/>
                <w:b/>
                <w:bCs/>
                <w:color w:val="auto"/>
                <w:sz w:val="21"/>
                <w:szCs w:val="21"/>
                <w:lang w:val="en-US" w:eastAsia="zh-CN"/>
              </w:rPr>
              <w:t>100</w:t>
            </w:r>
            <w:r>
              <w:rPr>
                <w:rFonts w:hint="eastAsia" w:ascii="宋体" w:hAnsi="宋体" w:eastAsia="宋体" w:cs="宋体"/>
                <w:color w:val="auto"/>
                <w:sz w:val="21"/>
                <w:szCs w:val="21"/>
              </w:rPr>
              <w:t>平方米以上、检验室</w:t>
            </w:r>
            <w:r>
              <w:rPr>
                <w:rFonts w:hint="eastAsia" w:ascii="黑体" w:hAnsi="黑体" w:eastAsia="黑体" w:cs="黑体"/>
                <w:b/>
                <w:bCs/>
                <w:color w:val="auto"/>
                <w:sz w:val="21"/>
                <w:szCs w:val="21"/>
                <w:lang w:val="en-US" w:eastAsia="zh-CN"/>
              </w:rPr>
              <w:t>50</w:t>
            </w:r>
            <w:r>
              <w:rPr>
                <w:rFonts w:hint="eastAsia" w:ascii="宋体" w:hAnsi="宋体" w:eastAsia="宋体" w:cs="宋体"/>
                <w:color w:val="auto"/>
                <w:sz w:val="21"/>
                <w:szCs w:val="21"/>
              </w:rPr>
              <w:t>平方米以上、</w:t>
            </w:r>
            <w:r>
              <w:rPr>
                <w:rFonts w:hint="eastAsia" w:ascii="黑体" w:hAnsi="黑体" w:eastAsia="黑体" w:cs="黑体"/>
                <w:b/>
                <w:bCs/>
                <w:color w:val="auto"/>
                <w:sz w:val="21"/>
                <w:szCs w:val="21"/>
                <w:lang w:eastAsia="zh-CN"/>
              </w:rPr>
              <w:t>仓库</w:t>
            </w:r>
            <w:r>
              <w:rPr>
                <w:rFonts w:hint="eastAsia" w:ascii="黑体" w:hAnsi="黑体" w:eastAsia="黑体" w:cs="黑体"/>
                <w:b/>
                <w:bCs/>
                <w:color w:val="auto"/>
                <w:sz w:val="21"/>
                <w:szCs w:val="21"/>
                <w:lang w:val="en-US" w:eastAsia="zh-CN"/>
              </w:rPr>
              <w:t>20</w:t>
            </w:r>
            <w:r>
              <w:rPr>
                <w:rFonts w:hint="eastAsia" w:ascii="黑体" w:hAnsi="黑体" w:eastAsia="黑体" w:cs="黑体"/>
                <w:b/>
                <w:bCs/>
                <w:color w:val="auto"/>
                <w:sz w:val="21"/>
                <w:szCs w:val="21"/>
              </w:rPr>
              <w:t>平方米以上</w:t>
            </w:r>
            <w:r>
              <w:rPr>
                <w:rFonts w:hint="eastAsia" w:ascii="黑体" w:hAnsi="黑体" w:eastAsia="黑体" w:cs="黑体"/>
                <w:color w:val="auto"/>
                <w:sz w:val="21"/>
                <w:szCs w:val="21"/>
              </w:rPr>
              <w:t>、</w:t>
            </w:r>
            <w:r>
              <w:rPr>
                <w:rFonts w:hint="eastAsia" w:ascii="黑体" w:hAnsi="黑体" w:eastAsia="黑体" w:cs="黑体"/>
                <w:b/>
                <w:bCs/>
                <w:color w:val="auto"/>
                <w:sz w:val="21"/>
                <w:szCs w:val="21"/>
                <w:lang w:eastAsia="zh-CN"/>
              </w:rPr>
              <w:t>育苗室</w:t>
            </w:r>
            <w:r>
              <w:rPr>
                <w:rFonts w:hint="eastAsia" w:ascii="宋体" w:hAnsi="宋体" w:eastAsia="宋体" w:cs="宋体"/>
                <w:color w:val="auto"/>
                <w:sz w:val="21"/>
                <w:szCs w:val="21"/>
              </w:rPr>
              <w:t>面积2000平方米以上</w:t>
            </w:r>
            <w:r>
              <w:rPr>
                <w:rFonts w:hint="eastAsia" w:ascii="宋体" w:hAnsi="宋体" w:eastAsia="宋体" w:cs="宋体"/>
                <w:color w:val="auto"/>
                <w:sz w:val="21"/>
                <w:szCs w:val="21"/>
                <w:lang w:eastAsia="zh-CN"/>
              </w:rPr>
              <w:t>；</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（二）检验仪器。具有光照培养箱、生物显微镜、培养皿等能够满足蔬菜种苗（种子）质量检验及健康检验需要的仪器设备；</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（三）生产设备。具有播种机，配套的供暖、降温散热、光照调节、温湿度监控、灌溉施肥用药、防虫治虫、消毒设施等育苗所需的设备；</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（四）人员。</w:t>
            </w:r>
            <w:r>
              <w:rPr>
                <w:rFonts w:hint="eastAsia" w:ascii="黑体" w:hAnsi="黑体" w:eastAsia="黑体" w:cs="黑体"/>
                <w:b/>
                <w:bCs/>
                <w:color w:val="auto"/>
                <w:sz w:val="21"/>
                <w:szCs w:val="21"/>
              </w:rPr>
              <w:t>具有种苗生产、</w:t>
            </w:r>
            <w:r>
              <w:rPr>
                <w:rFonts w:hint="eastAsia" w:ascii="黑体" w:hAnsi="黑体" w:eastAsia="黑体" w:cs="黑体"/>
                <w:b/>
                <w:bCs/>
                <w:color w:val="auto"/>
                <w:sz w:val="21"/>
                <w:szCs w:val="21"/>
                <w:lang w:eastAsia="zh-CN"/>
              </w:rPr>
              <w:t>种子贮藏和</w:t>
            </w:r>
            <w:r>
              <w:rPr>
                <w:rFonts w:hint="eastAsia" w:ascii="黑体" w:hAnsi="黑体" w:eastAsia="黑体" w:cs="黑体"/>
                <w:b/>
                <w:bCs/>
                <w:color w:val="auto"/>
                <w:sz w:val="21"/>
                <w:szCs w:val="21"/>
              </w:rPr>
              <w:t>检验</w:t>
            </w:r>
            <w:r>
              <w:rPr>
                <w:rFonts w:hint="eastAsia" w:ascii="宋体" w:hAnsi="宋体" w:eastAsia="宋体" w:cs="宋体"/>
                <w:color w:val="auto"/>
                <w:sz w:val="21"/>
                <w:szCs w:val="21"/>
              </w:rPr>
              <w:t>专业技术人员各2名以上；</w:t>
            </w:r>
          </w:p>
          <w:p>
            <w:pPr>
              <w:widowControl w:val="0"/>
              <w:spacing w:line="240" w:lineRule="auto"/>
              <w:ind w:firstLine="420" w:firstLineChars="200"/>
              <w:rPr>
                <w:rFonts w:hint="eastAsia" w:ascii="黑体" w:hAnsi="黑体" w:eastAsia="黑体" w:cs="黑体"/>
                <w:b/>
                <w:bCs/>
                <w:color w:val="auto"/>
                <w:sz w:val="21"/>
                <w:szCs w:val="21"/>
              </w:rPr>
            </w:pPr>
            <w:r>
              <w:rPr>
                <w:rFonts w:hint="eastAsia" w:ascii="宋体" w:hAnsi="宋体" w:eastAsia="宋体" w:cs="宋体"/>
                <w:color w:val="auto"/>
                <w:sz w:val="21"/>
                <w:szCs w:val="21"/>
              </w:rPr>
              <w:t>（五）品种。生产经营列入《非主要农作物品种登记目录》的蔬菜作物，品种应是经农业农村部登记公告的。</w:t>
            </w:r>
            <w:r>
              <w:rPr>
                <w:rFonts w:hint="eastAsia" w:ascii="黑体" w:hAnsi="黑体" w:eastAsia="黑体" w:cs="黑体"/>
                <w:b/>
                <w:bCs/>
                <w:color w:val="auto"/>
                <w:sz w:val="21"/>
                <w:szCs w:val="21"/>
              </w:rPr>
              <w:t>生产经营授权品种的，应当征得品种权人的书面同意。</w:t>
            </w:r>
          </w:p>
          <w:p>
            <w:pPr>
              <w:widowControl w:val="0"/>
              <w:spacing w:line="240" w:lineRule="auto"/>
              <w:ind w:firstLine="420" w:firstLineChars="200"/>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rPr>
              <w:t>（六）生产环境。种苗生产</w:t>
            </w:r>
            <w:r>
              <w:rPr>
                <w:rFonts w:hint="eastAsia" w:ascii="黑体" w:hAnsi="黑体" w:eastAsia="黑体" w:cs="黑体"/>
                <w:b/>
                <w:bCs/>
                <w:color w:val="auto"/>
                <w:sz w:val="21"/>
                <w:szCs w:val="21"/>
                <w:lang w:eastAsia="zh-CN"/>
              </w:rPr>
              <w:t>地点无检疫性有害生物。</w:t>
            </w:r>
          </w:p>
          <w:p>
            <w:pPr>
              <w:widowControl w:val="0"/>
              <w:spacing w:line="240" w:lineRule="auto"/>
              <w:ind w:firstLine="420" w:firstLineChars="200"/>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（七）法律法规规定的其他条件。</w:t>
            </w:r>
          </w:p>
        </w:tc>
        <w:tc>
          <w:tcPr>
            <w:tcW w:w="2463" w:type="dxa"/>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办公场所、检验室面积与上位法保持一致；增加仓库面积20平方米以上，用于蔬菜种子保存及出入库溯源管理。文字表述更加规范。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2" w:type="dxa"/>
            <w:vAlign w:val="top"/>
          </w:tcPr>
          <w:p>
            <w:pPr>
              <w:widowControl w:val="0"/>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第六条  </w:t>
            </w:r>
            <w:r>
              <w:rPr>
                <w:rFonts w:hint="eastAsia" w:ascii="宋体" w:hAnsi="宋体" w:eastAsia="宋体" w:cs="宋体"/>
                <w:color w:val="auto"/>
                <w:sz w:val="21"/>
                <w:szCs w:val="21"/>
              </w:rPr>
              <w:t>申请蔬菜种苗生产经营许可证，应当提交以下材料：</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w:t>
            </w:r>
            <w:r>
              <w:rPr>
                <w:rFonts w:hint="eastAsia" w:ascii="宋体" w:hAnsi="宋体" w:eastAsia="宋体" w:cs="宋体"/>
                <w:color w:val="auto"/>
                <w:spacing w:val="8"/>
                <w:kern w:val="0"/>
                <w:sz w:val="21"/>
                <w:szCs w:val="21"/>
                <w:highlight w:val="black"/>
                <w:shd w:val="clear" w:fill="000000" w:themeFill="text1"/>
              </w:rPr>
              <w:t>种苗</w:t>
            </w:r>
            <w:r>
              <w:rPr>
                <w:rFonts w:hint="eastAsia" w:ascii="宋体" w:hAnsi="宋体" w:eastAsia="宋体" w:cs="宋体"/>
                <w:color w:val="auto"/>
                <w:sz w:val="21"/>
                <w:szCs w:val="21"/>
              </w:rPr>
              <w:t>生产经营许可证申请表；</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（二）单位性质、股权结构等基本情况，公司章程、营业执照复印件，设立分支机构、委托生产种苗、委托代销种苗以及以购销方式销售种苗等情况说明；</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（三）种苗生产、检验专业技术人员的基本情况</w:t>
            </w:r>
            <w:r>
              <w:rPr>
                <w:rFonts w:hint="eastAsia" w:ascii="宋体" w:hAnsi="宋体" w:eastAsia="宋体" w:cs="宋体"/>
                <w:color w:val="auto"/>
                <w:spacing w:val="8"/>
                <w:kern w:val="0"/>
                <w:sz w:val="21"/>
                <w:szCs w:val="21"/>
                <w:highlight w:val="black"/>
                <w:shd w:val="clear" w:fill="000000" w:themeFill="text1"/>
              </w:rPr>
              <w:t>及其企业缴纳的社保证明复印件</w:t>
            </w:r>
            <w:r>
              <w:rPr>
                <w:rFonts w:hint="eastAsia" w:ascii="宋体" w:hAnsi="宋体" w:eastAsia="宋体" w:cs="宋体"/>
                <w:color w:val="auto"/>
                <w:sz w:val="21"/>
                <w:szCs w:val="21"/>
              </w:rPr>
              <w:t>，企业法</w:t>
            </w:r>
            <w:r>
              <w:rPr>
                <w:rFonts w:hint="eastAsia" w:ascii="宋体" w:hAnsi="宋体" w:eastAsia="宋体" w:cs="宋体"/>
                <w:color w:val="auto"/>
                <w:sz w:val="21"/>
                <w:szCs w:val="21"/>
                <w:highlight w:val="none"/>
              </w:rPr>
              <w:t>定代表</w:t>
            </w:r>
            <w:r>
              <w:rPr>
                <w:rFonts w:hint="eastAsia" w:ascii="宋体" w:hAnsi="宋体" w:eastAsia="宋体" w:cs="宋体"/>
                <w:color w:val="auto"/>
                <w:sz w:val="21"/>
                <w:szCs w:val="21"/>
              </w:rPr>
              <w:t>人和高级管理人员名单及其种业从业简历；</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（四）检验室、育苗室、</w:t>
            </w:r>
            <w:r>
              <w:rPr>
                <w:rFonts w:hint="eastAsia" w:ascii="宋体" w:hAnsi="宋体" w:eastAsia="宋体" w:cs="宋体"/>
                <w:color w:val="auto"/>
                <w:spacing w:val="8"/>
                <w:kern w:val="0"/>
                <w:sz w:val="21"/>
                <w:szCs w:val="21"/>
                <w:highlight w:val="black"/>
                <w:shd w:val="clear" w:fill="000000" w:themeFill="text1"/>
              </w:rPr>
              <w:t>播种室</w:t>
            </w:r>
            <w:r>
              <w:rPr>
                <w:rFonts w:hint="eastAsia" w:ascii="宋体" w:hAnsi="宋体" w:eastAsia="宋体" w:cs="宋体"/>
                <w:color w:val="auto"/>
                <w:sz w:val="21"/>
                <w:szCs w:val="21"/>
              </w:rPr>
              <w:t>等基本设施的自有产权</w:t>
            </w:r>
            <w:r>
              <w:rPr>
                <w:rFonts w:hint="eastAsia" w:ascii="宋体" w:hAnsi="宋体" w:eastAsia="宋体" w:cs="宋体"/>
                <w:color w:val="auto"/>
                <w:spacing w:val="8"/>
                <w:kern w:val="0"/>
                <w:sz w:val="21"/>
                <w:szCs w:val="21"/>
                <w:highlight w:val="black"/>
                <w:shd w:val="clear" w:fill="000000" w:themeFill="text1"/>
              </w:rPr>
              <w:t>（购置发票）</w:t>
            </w:r>
            <w:r>
              <w:rPr>
                <w:rFonts w:hint="eastAsia" w:ascii="宋体" w:hAnsi="宋体" w:eastAsia="宋体" w:cs="宋体"/>
                <w:color w:val="auto"/>
                <w:sz w:val="21"/>
                <w:szCs w:val="21"/>
              </w:rPr>
              <w:t>或自有资产的证明材料；办公场所自有产权证明或租赁合同</w:t>
            </w:r>
            <w:r>
              <w:rPr>
                <w:rFonts w:hint="eastAsia" w:ascii="宋体" w:hAnsi="宋体" w:eastAsia="宋体" w:cs="宋体"/>
                <w:color w:val="auto"/>
                <w:spacing w:val="8"/>
                <w:kern w:val="0"/>
                <w:sz w:val="21"/>
                <w:szCs w:val="21"/>
                <w:highlight w:val="black"/>
                <w:shd w:val="clear" w:fill="000000" w:themeFill="text1"/>
              </w:rPr>
              <w:t>复印件，办公场所应在种苗生产经营许可证核发机关所辖行政区域；</w:t>
            </w:r>
            <w:r>
              <w:rPr>
                <w:rFonts w:hint="eastAsia" w:ascii="宋体" w:hAnsi="宋体" w:eastAsia="宋体" w:cs="宋体"/>
                <w:color w:val="auto"/>
                <w:sz w:val="21"/>
                <w:szCs w:val="21"/>
              </w:rPr>
              <w:t>种苗生产、检验等设备清单和购置发票复印件；相关设施设备的情况说明及实景照片；</w:t>
            </w:r>
          </w:p>
          <w:p>
            <w:pPr>
              <w:widowControl w:val="0"/>
              <w:spacing w:line="240" w:lineRule="auto"/>
              <w:ind w:firstLine="420" w:firstLineChars="200"/>
              <w:rPr>
                <w:rFonts w:hint="eastAsia" w:ascii="宋体" w:hAnsi="宋体" w:eastAsia="宋体" w:cs="宋体"/>
                <w:color w:val="auto"/>
                <w:spacing w:val="8"/>
                <w:kern w:val="0"/>
                <w:sz w:val="21"/>
                <w:szCs w:val="21"/>
                <w:highlight w:val="none"/>
                <w:shd w:val="clear" w:fill="000000" w:themeFill="text1"/>
              </w:rPr>
            </w:pPr>
            <w:r>
              <w:rPr>
                <w:rFonts w:hint="eastAsia" w:ascii="宋体" w:hAnsi="宋体" w:eastAsia="宋体" w:cs="宋体"/>
                <w:color w:val="auto"/>
                <w:sz w:val="21"/>
                <w:szCs w:val="21"/>
              </w:rPr>
              <w:t>（五）生产经营登记类</w:t>
            </w:r>
            <w:r>
              <w:rPr>
                <w:rFonts w:hint="eastAsia" w:ascii="宋体" w:hAnsi="宋体" w:eastAsia="宋体" w:cs="宋体"/>
                <w:color w:val="auto"/>
                <w:spacing w:val="8"/>
                <w:kern w:val="0"/>
                <w:sz w:val="21"/>
                <w:szCs w:val="21"/>
                <w:highlight w:val="black"/>
                <w:shd w:val="clear" w:fill="000000" w:themeFill="text1"/>
              </w:rPr>
              <w:t>作物</w:t>
            </w:r>
            <w:r>
              <w:rPr>
                <w:rFonts w:hint="eastAsia" w:ascii="宋体" w:hAnsi="宋体" w:eastAsia="宋体" w:cs="宋体"/>
                <w:color w:val="auto"/>
                <w:sz w:val="21"/>
                <w:szCs w:val="21"/>
              </w:rPr>
              <w:t>种苗的，应提交品种登记证书复印件；生产经营授权品种的，提交植物新品种权证书复印件及品种权人的书面同意证明</w:t>
            </w:r>
            <w:r>
              <w:rPr>
                <w:rFonts w:hint="eastAsia" w:ascii="宋体" w:hAnsi="宋体" w:eastAsia="宋体" w:cs="宋体"/>
                <w:color w:val="auto"/>
                <w:spacing w:val="8"/>
                <w:kern w:val="0"/>
                <w:sz w:val="21"/>
                <w:szCs w:val="21"/>
                <w:highlight w:val="black"/>
                <w:shd w:val="clear" w:fill="000000" w:themeFill="text1"/>
              </w:rPr>
              <w:t>或种子生产经营者提供的品种权人授权其生产经营的书面同意证明；</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（六）委托种苗生产合同复印件或自行组织种苗生产的情况说明和证明材料；</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（七）种苗</w:t>
            </w:r>
            <w:r>
              <w:rPr>
                <w:rFonts w:hint="eastAsia" w:ascii="宋体" w:hAnsi="宋体" w:eastAsia="宋体" w:cs="宋体"/>
                <w:color w:val="auto"/>
                <w:spacing w:val="8"/>
                <w:kern w:val="0"/>
                <w:sz w:val="21"/>
                <w:szCs w:val="21"/>
                <w:highlight w:val="black"/>
                <w:shd w:val="clear" w:fill="000000" w:themeFill="text1"/>
              </w:rPr>
              <w:t>繁育场周边环境说明</w:t>
            </w:r>
            <w:r>
              <w:rPr>
                <w:rFonts w:hint="eastAsia" w:ascii="宋体" w:hAnsi="宋体" w:eastAsia="宋体" w:cs="宋体"/>
                <w:color w:val="auto"/>
                <w:sz w:val="21"/>
                <w:szCs w:val="21"/>
              </w:rPr>
              <w:t>；</w:t>
            </w:r>
          </w:p>
          <w:p>
            <w:pPr>
              <w:widowControl w:val="0"/>
              <w:spacing w:line="240" w:lineRule="auto"/>
              <w:ind w:firstLine="420" w:firstLineChars="200"/>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（八）法律法规规定的其他材料。</w:t>
            </w:r>
          </w:p>
        </w:tc>
        <w:tc>
          <w:tcPr>
            <w:tcW w:w="5642" w:type="dxa"/>
            <w:vAlign w:val="top"/>
          </w:tcPr>
          <w:p>
            <w:pPr>
              <w:widowControl w:val="0"/>
              <w:spacing w:line="240" w:lineRule="auto"/>
              <w:ind w:firstLine="422" w:firstLineChars="200"/>
              <w:rPr>
                <w:rFonts w:hint="eastAsia" w:ascii="宋体" w:hAnsi="宋体" w:eastAsia="宋体" w:cs="宋体"/>
                <w:color w:val="auto"/>
                <w:sz w:val="21"/>
                <w:szCs w:val="21"/>
              </w:rPr>
            </w:pPr>
            <w:r>
              <w:rPr>
                <w:rFonts w:hint="eastAsia" w:ascii="宋体" w:hAnsi="宋体" w:eastAsia="宋体" w:cs="宋体"/>
                <w:b/>
                <w:color w:val="auto"/>
                <w:sz w:val="21"/>
                <w:szCs w:val="21"/>
              </w:rPr>
              <w:t xml:space="preserve">第六条  </w:t>
            </w:r>
            <w:r>
              <w:rPr>
                <w:rFonts w:hint="eastAsia" w:ascii="宋体" w:hAnsi="宋体" w:eastAsia="宋体" w:cs="宋体"/>
                <w:color w:val="auto"/>
                <w:sz w:val="21"/>
                <w:szCs w:val="21"/>
              </w:rPr>
              <w:t>申请蔬菜种苗生产经营许可证，应当提交以下材料：</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w:t>
            </w:r>
            <w:r>
              <w:rPr>
                <w:rFonts w:hint="eastAsia" w:ascii="黑体" w:hAnsi="黑体" w:eastAsia="黑体" w:cs="黑体"/>
                <w:b/>
                <w:bCs/>
                <w:color w:val="auto"/>
                <w:sz w:val="21"/>
                <w:szCs w:val="21"/>
                <w:lang w:eastAsia="zh-CN"/>
              </w:rPr>
              <w:t>蔬菜</w:t>
            </w:r>
            <w:r>
              <w:rPr>
                <w:rFonts w:hint="eastAsia" w:ascii="宋体" w:hAnsi="宋体" w:eastAsia="宋体" w:cs="宋体"/>
                <w:color w:val="auto"/>
                <w:sz w:val="21"/>
                <w:szCs w:val="21"/>
              </w:rPr>
              <w:t>种苗生产经营许可证申请表；</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（二）单位性质、股权结构等基本情况，公司章程、营业执照复印件，设立分支机构、委托生产种苗、委托代销种苗以及以购销方式销售种苗等情况说明；</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（三）种苗生产、</w:t>
            </w:r>
            <w:r>
              <w:rPr>
                <w:rFonts w:hint="eastAsia" w:ascii="黑体" w:hAnsi="黑体" w:eastAsia="黑体" w:cs="黑体"/>
                <w:b/>
                <w:bCs/>
                <w:color w:val="auto"/>
                <w:sz w:val="21"/>
                <w:szCs w:val="21"/>
                <w:lang w:eastAsia="zh-CN"/>
              </w:rPr>
              <w:t>种子贮藏</w:t>
            </w:r>
            <w:r>
              <w:rPr>
                <w:rFonts w:hint="eastAsia" w:ascii="黑体" w:hAnsi="黑体" w:eastAsia="黑体" w:cs="黑体"/>
                <w:color w:val="auto"/>
                <w:sz w:val="21"/>
                <w:szCs w:val="21"/>
                <w:lang w:eastAsia="zh-CN"/>
              </w:rPr>
              <w:t>、</w:t>
            </w:r>
            <w:r>
              <w:rPr>
                <w:rFonts w:hint="eastAsia" w:ascii="宋体" w:hAnsi="宋体" w:eastAsia="宋体" w:cs="宋体"/>
                <w:color w:val="auto"/>
                <w:sz w:val="21"/>
                <w:szCs w:val="21"/>
              </w:rPr>
              <w:t>检验专业技术人员的基本情况，企业法定代表人和高级管理人员名单及其种业从业简历；</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（四）检验室、育苗室、</w:t>
            </w:r>
            <w:r>
              <w:rPr>
                <w:rFonts w:hint="eastAsia" w:ascii="黑体" w:hAnsi="黑体" w:eastAsia="黑体" w:cs="黑体"/>
                <w:b/>
                <w:bCs/>
                <w:color w:val="auto"/>
                <w:sz w:val="21"/>
                <w:szCs w:val="21"/>
                <w:lang w:eastAsia="zh-CN"/>
              </w:rPr>
              <w:t>仓库</w:t>
            </w:r>
            <w:r>
              <w:rPr>
                <w:rFonts w:hint="eastAsia" w:ascii="宋体" w:hAnsi="宋体" w:eastAsia="宋体" w:cs="宋体"/>
                <w:color w:val="auto"/>
                <w:sz w:val="21"/>
                <w:szCs w:val="21"/>
              </w:rPr>
              <w:t>等基本设施的自有产权或自有资产的证明材料；办公场所自有产权证明</w:t>
            </w:r>
            <w:r>
              <w:rPr>
                <w:rFonts w:hint="eastAsia" w:ascii="黑体" w:hAnsi="黑体" w:eastAsia="黑体" w:cs="黑体"/>
                <w:b/>
                <w:bCs/>
                <w:color w:val="auto"/>
                <w:sz w:val="21"/>
                <w:szCs w:val="21"/>
                <w:lang w:eastAsia="zh-CN"/>
              </w:rPr>
              <w:t>复印件</w:t>
            </w:r>
            <w:r>
              <w:rPr>
                <w:rFonts w:hint="eastAsia" w:ascii="宋体" w:hAnsi="宋体" w:eastAsia="宋体" w:cs="宋体"/>
                <w:color w:val="auto"/>
                <w:sz w:val="21"/>
                <w:szCs w:val="21"/>
              </w:rPr>
              <w:t>或租赁合同；种苗生产、</w:t>
            </w:r>
            <w:r>
              <w:rPr>
                <w:rFonts w:hint="eastAsia" w:ascii="宋体" w:hAnsi="宋体" w:eastAsia="宋体" w:cs="宋体"/>
                <w:b w:val="0"/>
                <w:bCs w:val="0"/>
                <w:color w:val="auto"/>
                <w:sz w:val="21"/>
                <w:szCs w:val="21"/>
              </w:rPr>
              <w:t>检验</w:t>
            </w:r>
            <w:r>
              <w:rPr>
                <w:rFonts w:hint="eastAsia" w:ascii="宋体" w:hAnsi="宋体" w:eastAsia="宋体" w:cs="宋体"/>
                <w:color w:val="auto"/>
                <w:sz w:val="21"/>
                <w:szCs w:val="21"/>
              </w:rPr>
              <w:t>等设备清单和购置发票复印件；相关设施设备的情况说明及实景照片；</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（五）生产经营登记类</w:t>
            </w:r>
            <w:r>
              <w:rPr>
                <w:rFonts w:hint="eastAsia" w:ascii="黑体" w:hAnsi="黑体" w:eastAsia="黑体" w:cs="黑体"/>
                <w:b/>
                <w:bCs/>
                <w:color w:val="auto"/>
                <w:sz w:val="21"/>
                <w:szCs w:val="21"/>
                <w:lang w:eastAsia="zh-CN"/>
              </w:rPr>
              <w:t>蔬菜</w:t>
            </w:r>
            <w:r>
              <w:rPr>
                <w:rFonts w:hint="eastAsia" w:ascii="宋体" w:hAnsi="宋体" w:eastAsia="宋体" w:cs="宋体"/>
                <w:color w:val="auto"/>
                <w:sz w:val="21"/>
                <w:szCs w:val="21"/>
              </w:rPr>
              <w:t>种苗的，应提交品种登记证书复印件；生产经营授权品种的，提交植物新品种权证书复印件及品种权人的书面同意证明；</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（六）委托种苗生产合同复印件或自行组织种苗生产的情况说明和证明材料；</w:t>
            </w:r>
          </w:p>
          <w:p>
            <w:pPr>
              <w:widowControl w:val="0"/>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（七）种苗</w:t>
            </w:r>
            <w:r>
              <w:rPr>
                <w:rFonts w:hint="eastAsia" w:ascii="黑体" w:hAnsi="黑体" w:eastAsia="黑体" w:cs="黑体"/>
                <w:b/>
                <w:bCs/>
                <w:color w:val="auto"/>
                <w:sz w:val="21"/>
                <w:szCs w:val="21"/>
                <w:lang w:eastAsia="zh-CN"/>
              </w:rPr>
              <w:t>生产地点检疫证明</w:t>
            </w:r>
            <w:r>
              <w:rPr>
                <w:rFonts w:hint="eastAsia" w:ascii="宋体" w:hAnsi="宋体" w:eastAsia="宋体" w:cs="宋体"/>
                <w:color w:val="auto"/>
                <w:sz w:val="21"/>
                <w:szCs w:val="21"/>
              </w:rPr>
              <w:t>；</w:t>
            </w:r>
          </w:p>
          <w:p>
            <w:pPr>
              <w:ind w:firstLine="420" w:firstLineChars="200"/>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（八）法律法规规定的其他材料。</w:t>
            </w:r>
          </w:p>
        </w:tc>
        <w:tc>
          <w:tcPr>
            <w:tcW w:w="2463" w:type="dxa"/>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与附件样表名称保持一致。</w:t>
            </w:r>
          </w:p>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与上位法保持一致。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642" w:type="dxa"/>
            <w:vAlign w:val="top"/>
          </w:tcPr>
          <w:p>
            <w:pPr>
              <w:spacing w:line="240" w:lineRule="auto"/>
              <w:ind w:firstLine="422" w:firstLineChars="200"/>
              <w:jc w:val="left"/>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 xml:space="preserve">第七条 </w:t>
            </w:r>
            <w:r>
              <w:rPr>
                <w:rFonts w:hint="eastAsia" w:ascii="宋体" w:hAnsi="宋体" w:eastAsia="宋体" w:cs="宋体"/>
                <w:color w:val="auto"/>
                <w:sz w:val="21"/>
                <w:szCs w:val="21"/>
              </w:rPr>
              <w:t xml:space="preserve"> 本办法规定的育苗设施，是指能够为幼苗生长发育提供适宜环境条件的保护性结构型式，如日光温室、塑料大棚、连栋温室或其他设施等。</w:t>
            </w:r>
          </w:p>
        </w:tc>
        <w:tc>
          <w:tcPr>
            <w:tcW w:w="5642" w:type="dxa"/>
            <w:vAlign w:val="top"/>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 xml:space="preserve">第七条 </w:t>
            </w:r>
            <w:r>
              <w:rPr>
                <w:rFonts w:hint="eastAsia" w:ascii="宋体" w:hAnsi="宋体" w:eastAsia="宋体" w:cs="宋体"/>
                <w:color w:val="auto"/>
                <w:sz w:val="21"/>
                <w:szCs w:val="21"/>
              </w:rPr>
              <w:t xml:space="preserve"> 本办法规定的育苗设施，是指能够为幼苗生长发育提供适宜环境条件的保护性结构型式，如日光温室、塑料大棚、连栋温室或其他设施等。</w:t>
            </w:r>
          </w:p>
        </w:tc>
        <w:tc>
          <w:tcPr>
            <w:tcW w:w="2463" w:type="dxa"/>
          </w:tcPr>
          <w:p>
            <w:pPr>
              <w:jc w:val="both"/>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2" w:type="dxa"/>
            <w:vAlign w:val="top"/>
          </w:tcPr>
          <w:p>
            <w:pPr>
              <w:spacing w:line="240" w:lineRule="auto"/>
              <w:ind w:firstLine="422" w:firstLineChars="200"/>
              <w:jc w:val="left"/>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第八条</w:t>
            </w:r>
            <w:r>
              <w:rPr>
                <w:rFonts w:hint="eastAsia" w:ascii="宋体" w:hAnsi="宋体" w:eastAsia="宋体" w:cs="宋体"/>
                <w:color w:val="auto"/>
                <w:sz w:val="21"/>
                <w:szCs w:val="21"/>
              </w:rPr>
              <w:t xml:space="preserve">  本办法由宁夏回族自治区农业农村厅负责解释。</w:t>
            </w:r>
          </w:p>
        </w:tc>
        <w:tc>
          <w:tcPr>
            <w:tcW w:w="5642" w:type="dxa"/>
            <w:vAlign w:val="center"/>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第八条</w:t>
            </w:r>
            <w:r>
              <w:rPr>
                <w:rFonts w:hint="eastAsia" w:ascii="宋体" w:hAnsi="宋体" w:eastAsia="宋体" w:cs="宋体"/>
                <w:color w:val="auto"/>
                <w:sz w:val="21"/>
                <w:szCs w:val="21"/>
              </w:rPr>
              <w:t xml:space="preserve">  本办法由宁夏回族自治区农业农村厅负责解释。</w:t>
            </w:r>
          </w:p>
        </w:tc>
        <w:tc>
          <w:tcPr>
            <w:tcW w:w="2463" w:type="dxa"/>
          </w:tcPr>
          <w:p>
            <w:pPr>
              <w:jc w:val="both"/>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2" w:type="dxa"/>
            <w:vAlign w:val="top"/>
          </w:tcPr>
          <w:p>
            <w:pPr>
              <w:spacing w:line="240" w:lineRule="auto"/>
              <w:ind w:firstLine="422" w:firstLineChars="200"/>
              <w:jc w:val="left"/>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第九条</w:t>
            </w:r>
            <w:r>
              <w:rPr>
                <w:rFonts w:hint="eastAsia" w:ascii="宋体" w:hAnsi="宋体" w:eastAsia="宋体" w:cs="宋体"/>
                <w:color w:val="auto"/>
                <w:sz w:val="21"/>
                <w:szCs w:val="21"/>
              </w:rPr>
              <w:t xml:space="preserve">  本办法自2019年4月6日施行，有效期至2024年4月5日。</w:t>
            </w:r>
          </w:p>
        </w:tc>
        <w:tc>
          <w:tcPr>
            <w:tcW w:w="5642" w:type="dxa"/>
            <w:vAlign w:val="center"/>
          </w:tcPr>
          <w:p>
            <w:pPr>
              <w:ind w:left="211" w:hanging="211" w:hangingChars="100"/>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color w:val="auto"/>
                <w:sz w:val="21"/>
                <w:szCs w:val="21"/>
              </w:rPr>
              <w:t>第九条</w:t>
            </w:r>
            <w:r>
              <w:rPr>
                <w:rFonts w:hint="eastAsia" w:ascii="宋体" w:hAnsi="宋体" w:eastAsia="宋体" w:cs="宋体"/>
                <w:color w:val="auto"/>
                <w:sz w:val="21"/>
                <w:szCs w:val="21"/>
              </w:rPr>
              <w:t xml:space="preserve">  本办法自</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日施行，有效期至</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w:t>
            </w:r>
          </w:p>
        </w:tc>
        <w:tc>
          <w:tcPr>
            <w:tcW w:w="2463" w:type="dxa"/>
          </w:tcPr>
          <w:p>
            <w:pPr>
              <w:jc w:val="both"/>
              <w:rPr>
                <w:rFonts w:hint="eastAsia" w:ascii="宋体" w:hAnsi="宋体" w:eastAsia="宋体" w:cs="宋体"/>
                <w:b w:val="0"/>
                <w:bCs w:val="0"/>
                <w:color w:val="auto"/>
                <w:sz w:val="21"/>
                <w:szCs w:val="21"/>
                <w:vertAlign w:val="baseline"/>
                <w:lang w:val="en-US" w:eastAsia="zh-CN"/>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cs="Times New Roman"/>
                              <w:sz w:val="28"/>
                              <w:szCs w:val="28"/>
                            </w:rPr>
                            <w:t>3</w:t>
                          </w:r>
                          <w:r>
                            <w:rPr>
                              <w:rFonts w:hint="default" w:ascii="Times New Roman" w:hAnsi="Times New Roman" w:eastAsia="宋体" w:cs="Times New Roman"/>
                              <w:sz w:val="28"/>
                              <w:szCs w:val="28"/>
                              <w:lang w:eastAsia="zh-CN"/>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cs="Times New Roman"/>
                        <w:sz w:val="28"/>
                        <w:szCs w:val="28"/>
                      </w:rPr>
                      <w:t>3</w:t>
                    </w:r>
                    <w:r>
                      <w:rPr>
                        <w:rFonts w:hint="default" w:ascii="Times New Roman" w:hAnsi="Times New Roman" w:eastAsia="宋体" w:cs="Times New Roman"/>
                        <w:sz w:val="28"/>
                        <w:szCs w:val="28"/>
                        <w:lang w:eastAsia="zh-CN"/>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Zjk0ZmY4MDQ1YTdkY2FmZWU2ZGIyYWFjMjVhMGEifQ=="/>
  </w:docVars>
  <w:rsids>
    <w:rsidRoot w:val="00172A27"/>
    <w:rsid w:val="202C5524"/>
    <w:rsid w:val="306C46B3"/>
    <w:rsid w:val="36D138E1"/>
    <w:rsid w:val="415F2ED4"/>
    <w:rsid w:val="4D046E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qFormat/>
    <w:uiPriority w:val="0"/>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2683</Words>
  <Characters>2734</Characters>
  <Lines>0</Lines>
  <Paragraphs>0</Paragraphs>
  <TotalTime>3</TotalTime>
  <ScaleCrop>false</ScaleCrop>
  <LinksUpToDate>false</LinksUpToDate>
  <CharactersWithSpaces>2781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2023-06-12T10:34:31Z</cp:lastPrinted>
  <dcterms:modified xsi:type="dcterms:W3CDTF">2023-06-12T10:35:41Z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98267A03AACB472394290CD4C1F42069_12</vt:lpwstr>
  </property>
</Properties>
</file>