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附件2.2.5</w:t>
      </w:r>
    </w:p>
    <w:p>
      <w:pPr>
        <w:spacing w:line="620" w:lineRule="exact"/>
        <w:jc w:val="center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2021年</w:t>
      </w: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移民重点村产业发展项目绩效目标考核评价表</w:t>
      </w:r>
      <w:bookmarkEnd w:id="0"/>
    </w:p>
    <w:tbl>
      <w:tblPr>
        <w:tblStyle w:val="9"/>
        <w:tblpPr w:leftFromText="180" w:rightFromText="180" w:vertAnchor="text" w:horzAnchor="page" w:tblpX="1110" w:tblpY="214"/>
        <w:tblOverlap w:val="never"/>
        <w:tblW w:w="146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215"/>
        <w:gridCol w:w="1230"/>
        <w:gridCol w:w="9690"/>
        <w:gridCol w:w="735"/>
        <w:gridCol w:w="5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Header/>
        </w:trPr>
        <w:tc>
          <w:tcPr>
            <w:tcW w:w="12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5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/>
              </w:rPr>
              <w:t>项目管理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eastAsia="zh-CN"/>
              </w:rPr>
              <w:t>项目管理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21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组织管理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(1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分)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组织领导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成立项目领导小组和实施小组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，细化工作要求，召开相关专题会议，安排部署工作，职责清晰、任务明确得2分，否则不得分。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配套政策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围绕重点村产业发展，出台有针对性的财政扶持、金融服务、人才支撑等政策（含往年出台的），得2分，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否则不得分。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2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绩效目标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绩效目标明确、清晰、合理，内容完整，得1分；绩效指标与绩效目标密切相关，得1分；绩效指标设置齐全，包括产出指标、效益指标和满意度指标等，得1分；绩效指标细化量化，采用定性描述的，具有可衡量性，得1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否则不得分。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实施方案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制定实施方案，明确项目实施内容、实施主体、实施地点、实施规模、资金使用环节、主要措施等，得4分；方案按要求报上级主管部门备案，得1分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否则不得分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业务管理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15分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监督检查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项目领导小组对项目进行督导检查至少2次以上，得2分；开展项目进度调度或印发督导通报，得2分，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否则不得分。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总结验收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在规定期限内完成项目验收，得2分；及时报送项目总结报告，得2分；按时报送绩效评价报告，得2分，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否则不得分。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档案管理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档案资料按照工作流程顺序整理，规范完整，装订成册，得3分，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否则不得分。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2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信息宣传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在县（市、区）级及以上电视台、报刊进行政策实施成效宣传，或报送的有关简报材料的得2分，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否则不得分。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2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资金管理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制度建设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建立项目管理办法，资金管理办法等相关制度办法，并符合财务制度规定得4分，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否则不得分。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2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使用管理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根据专项资金管理办法规定，依据实施方案使用资金，专款专用，得2分；资金拨付程序规范、手续完备，得1分。存在截留、挤占、挪用、虚列支出、超项目支出范围等情况的，此项不得分。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财务管理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设置专项科目核算项目支出情况，财务资料完整，会计核算规范得3分，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否则不得分。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25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0"/>
                <w:szCs w:val="20"/>
                <w:lang w:eastAsia="zh-CN"/>
              </w:rPr>
              <w:t>绩效指标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分</w:t>
            </w:r>
          </w:p>
        </w:tc>
        <w:tc>
          <w:tcPr>
            <w:tcW w:w="121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2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在规定期限内，100%完成项目任务，得6分；其他情况以完成工作任务的比例作为权重计算得分；50%（不含）以上工作任务未完成的，此项不得分。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围绕主导产业发展，引进企业及家庭农场、合作社等新型经营主体数量增加的得3分；吸引更多的社会力量投入包抓重点村产业就业帮扶、配套基础设施、整治人居环境等重点工作得3分，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否则不得分。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1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建设项目验收合格得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10分，否则不得分。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15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实效指标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12月31日前，项目资金执行率达到100%得10分，90%-95%的按比例得分，低于90%不得分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258" w:type="dxa"/>
            <w:vMerge w:val="continue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经济效益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移民群众收入增幅高于全区农村居民平均增幅，生产生活条件得到明显改善的得5分，否则不得分。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258" w:type="dxa"/>
            <w:vMerge w:val="continue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社会效益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基础设施配套完善、人居环境得到有效改善得5分。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58" w:type="dxa"/>
            <w:vMerge w:val="continue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可持续影响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效种养业得到长足发展得4分；有效壮大村集体经济得4分。否则不得分。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满意度指标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满意度</w:t>
            </w:r>
          </w:p>
        </w:tc>
        <w:tc>
          <w:tcPr>
            <w:tcW w:w="9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满意度超过90%，得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分；85%（含）-90%，得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分；80%（含）-85%，得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分；低于80%不得分。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393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1587" w:right="2098" w:bottom="1474" w:left="181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5VQQhIgIAADc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Y6+ItGhDxO7OpcepdBtu77V&#10;rSmP6NSZM1W85asGpayZD0/MgRsoH3wPjzgqaZDS9BIltXGf/vYe/TEyWClpwbWCaiwDJfKtxigj&#10;LQfBDcJ2EPRe3RuQd4w9sjyJ+OCCHMTKGfURS7CMOSomPQIzzZENgxrE+wCtN2KZuFguL/reumZX&#10;Xz+DmJaFtd5Y3o86ouftch+AdhpCxOwMFIYXFbAzjbHfpEj/X/Xkdd33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uVUE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86DB4"/>
    <w:rsid w:val="1A7A6A40"/>
    <w:rsid w:val="1B386DB4"/>
    <w:rsid w:val="32F35B23"/>
    <w:rsid w:val="35002340"/>
    <w:rsid w:val="4AFE3DC0"/>
    <w:rsid w:val="65C62BAE"/>
    <w:rsid w:val="707A9DEC"/>
    <w:rsid w:val="77BBB50B"/>
    <w:rsid w:val="7DEB926A"/>
    <w:rsid w:val="7DED3C4F"/>
    <w:rsid w:val="7FF7D52F"/>
    <w:rsid w:val="AFE7F3A9"/>
    <w:rsid w:val="B8DD65C3"/>
    <w:rsid w:val="BB5FA259"/>
    <w:rsid w:val="E3F9B5A0"/>
    <w:rsid w:val="EFBF8DDA"/>
    <w:rsid w:val="F55FB5C5"/>
    <w:rsid w:val="FB6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100" w:afterLines="100" w:afterAutospacing="0" w:line="6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5"/>
    <w:qFormat/>
    <w:uiPriority w:val="0"/>
    <w:pPr>
      <w:ind w:left="200" w:firstLine="420" w:firstLineChars="200"/>
    </w:pPr>
    <w:rPr>
      <w:rFonts w:ascii="Times New Roman" w:hAnsi="仿宋" w:eastAsia="黑体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2021-03-15T02:47:00Z</dcterms:created>
  <dc:creator>柴育东</dc:creator>
  <cp:lastModifiedBy>nynct</cp:lastModifiedBy>
  <cp:lastPrinted>2021-11-25T02:00:00Z</cp:lastPrinted>
  <dcterms:modified xsi:type="dcterms:W3CDTF">2021-12-08T11:11:18Z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