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OLE_LINK3"/>
      <w:bookmarkStart w:id="1" w:name="OLE_LINK4"/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年宁夏兽药GMP验收结果公示（第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期）</w:t>
      </w:r>
    </w:p>
    <w:p>
      <w:pPr>
        <w:widowControl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根据《兽药生产质量管理规范》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kern w:val="0"/>
          <w:sz w:val="32"/>
          <w:szCs w:val="32"/>
        </w:rPr>
        <w:t>《兽药生产质量管理规范检查验收办法》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kern w:val="0"/>
          <w:sz w:val="32"/>
          <w:szCs w:val="32"/>
        </w:rPr>
        <w:t>规定，自治区农业农村厅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kern w:val="0"/>
          <w:sz w:val="32"/>
          <w:szCs w:val="32"/>
        </w:rPr>
        <w:t>专家组对宁夏安利森生物科技有限公司实施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新版</w:t>
      </w:r>
      <w:r>
        <w:rPr>
          <w:rFonts w:hint="eastAsia" w:ascii="仿宋_GB2312" w:eastAsia="仿宋_GB2312"/>
          <w:kern w:val="0"/>
          <w:sz w:val="32"/>
          <w:szCs w:val="32"/>
        </w:rPr>
        <w:t>兽药GMP的情况进行现场检查验收。现将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验收</w:t>
      </w:r>
      <w:r>
        <w:rPr>
          <w:rFonts w:hint="eastAsia" w:ascii="仿宋_GB2312" w:eastAsia="仿宋_GB2312"/>
          <w:kern w:val="0"/>
          <w:sz w:val="32"/>
          <w:szCs w:val="32"/>
        </w:rPr>
        <w:t>结果在宁夏农业农村厅官网上予以公示，公示时间为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kern w:val="0"/>
          <w:sz w:val="32"/>
          <w:szCs w:val="32"/>
        </w:rPr>
        <w:t>，如有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异议</w:t>
      </w:r>
      <w:r>
        <w:rPr>
          <w:rFonts w:hint="eastAsia" w:ascii="仿宋_GB2312" w:eastAsia="仿宋_GB2312"/>
          <w:kern w:val="0"/>
          <w:sz w:val="32"/>
          <w:szCs w:val="32"/>
        </w:rPr>
        <w:t>请向自治区农业农村厅畜牧兽医局反映。</w:t>
      </w:r>
    </w:p>
    <w:p>
      <w:pPr>
        <w:widowControl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联系地址：银川市金凤区北京中路159号</w:t>
      </w:r>
    </w:p>
    <w:p>
      <w:pPr>
        <w:widowControl/>
        <w:ind w:firstLine="64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电话（传真）：0951-5169857 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电子邮件：</w: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kern w:val="0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instrText xml:space="preserve">nxzhyy@126.com</w:instrText>
      </w:r>
      <w:r>
        <w:rPr>
          <w:rFonts w:ascii="仿宋_GB2312" w:eastAsia="仿宋_GB2312"/>
          <w:color w:val="000000"/>
          <w:kern w:val="0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5"/>
          <w:rFonts w:hint="eastAsia" w:ascii="仿宋_GB2312" w:eastAsia="仿宋_GB2312"/>
          <w:color w:val="000000"/>
          <w:kern w:val="0"/>
          <w:sz w:val="32"/>
          <w:szCs w:val="32"/>
          <w:u w:val="none"/>
        </w:rPr>
        <w:t>nxshyc@126.com</w:t>
      </w:r>
      <w:r>
        <w:rPr>
          <w:rFonts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bookmarkStart w:id="2" w:name="_GoBack"/>
      <w:bookmarkEnd w:id="2"/>
    </w:p>
    <w:p>
      <w:pPr>
        <w:widowControl/>
        <w:spacing w:line="480" w:lineRule="auto"/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兽药生产企业GMP现场检查验收情况公示表</w:t>
      </w:r>
    </w:p>
    <w:p>
      <w:pPr>
        <w:widowControl/>
        <w:spacing w:line="480" w:lineRule="auto"/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自治区农业农村厅畜牧兽医局</w:t>
      </w:r>
    </w:p>
    <w:p>
      <w:pPr>
        <w:widowControl/>
        <w:spacing w:line="480" w:lineRule="auto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202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spacing w:line="480" w:lineRule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兽药生产企业GMP现场检查验收情况公示表</w:t>
      </w:r>
    </w:p>
    <w:bookmarkEnd w:id="0"/>
    <w:bookmarkEnd w:id="1"/>
    <w:tbl>
      <w:tblPr>
        <w:tblStyle w:val="6"/>
        <w:tblpPr w:leftFromText="180" w:rightFromText="180" w:vertAnchor="text" w:horzAnchor="page" w:tblpX="1705" w:tblpY="703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92"/>
        <w:gridCol w:w="1380"/>
        <w:gridCol w:w="1350"/>
        <w:gridCol w:w="1365"/>
        <w:gridCol w:w="129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验收范围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验收类型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验收情况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现场验收日期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验收专家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宁夏安利森生物科技有限公司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非氯消毒剂（液体）、非氯消毒剂（液体，D级）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推荐该企业非氯消毒剂（液体）、非氯消毒剂（液体，D级）生产线为新版兽药GMP合格生产线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组长：杨奇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组员：李昕、白庚辛、黄兆鸿、吴春燕、陈娟</w:t>
            </w:r>
          </w:p>
        </w:tc>
      </w:tr>
    </w:tbl>
    <w:p>
      <w:pPr>
        <w:rPr>
          <w:rFonts w:hint="eastAsia"/>
        </w:rPr>
      </w:pPr>
    </w:p>
    <w:p/>
    <w:p/>
    <w:p/>
    <w:sectPr>
      <w:headerReference r:id="rId3" w:type="default"/>
      <w:footerReference r:id="rId4" w:type="default"/>
      <w:pgSz w:w="11906" w:h="16838"/>
      <w:pgMar w:top="1984" w:right="1587" w:bottom="1701" w:left="1587" w:header="851" w:footer="992" w:gutter="0"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4EFC"/>
    <w:rsid w:val="18293006"/>
    <w:rsid w:val="1BE07556"/>
    <w:rsid w:val="3E8140C0"/>
    <w:rsid w:val="65B215A6"/>
    <w:rsid w:val="68C9333C"/>
    <w:rsid w:val="6AED29E6"/>
    <w:rsid w:val="6E994EFC"/>
    <w:rsid w:val="7D6726E6"/>
    <w:rsid w:val="7ED66F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2022-05-16T09:13:00Z</dcterms:created>
  <dc:creator>谭倩</dc:creator>
  <cp:lastModifiedBy>谭倩</cp:lastModifiedBy>
  <dcterms:modified xsi:type="dcterms:W3CDTF">2022-05-16T09:31:12Z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