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zh-CN" w:eastAsia="zh-CN"/>
        </w:rPr>
        <w:t>平罗县2024年高庄乡幸福等村高标准农田建设项目（高效节水）有关情况</w:t>
      </w:r>
      <w:bookmarkStart w:id="0" w:name="_GoBack"/>
      <w:bookmarkEnd w:id="0"/>
    </w:p>
    <w:tbl>
      <w:tblPr>
        <w:tblStyle w:val="1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highlight w:val="none"/>
                <w:lang w:val="en-US" w:eastAsia="zh-CN"/>
              </w:rPr>
              <w:t>2408-640221-20-01-790269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平罗县农业农村局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平罗县高庄乡幸福村、惠威村、戚镇村、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远景村和银光村。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9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  <w:highlight w:val="none"/>
                <w:lang w:val="en-US" w:eastAsia="zh-CN"/>
              </w:rPr>
              <w:t>项目分为两个片区，幸福村片区南起省道S302（陶左线），北至唐徕渠最末端幸福西五斗渠，西临京藏高速（第三排水沟），东至唐徕渠（桩号139+860~144+758）；远景村片区南起惠农渠高四支渠，北至惠农渠支渠上新渠，西临五四支沟，东至国道109（京拉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11416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23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firstLine="280" w:firstLineChars="1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实施农田基础设施建设、农田地力提升等工程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DFF5D5E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6FCFE6D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EF76F1"/>
    <w:rsid w:val="7FFF9CD7"/>
    <w:rsid w:val="9EFEA253"/>
    <w:rsid w:val="CBFDB207"/>
    <w:rsid w:val="E2FFB1D7"/>
    <w:rsid w:val="ECFFA774"/>
    <w:rsid w:val="FDC5C8B1"/>
    <w:rsid w:val="FFDFF52A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18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2019-07-05T23:32:00Z</dcterms:created>
  <dc:creator>丁 凯</dc:creator>
  <cp:lastModifiedBy>nynct</cp:lastModifiedBy>
  <cp:lastPrinted>2024-04-02T14:55:00Z</cp:lastPrinted>
  <dcterms:modified xsi:type="dcterms:W3CDTF">2024-08-30T16:10:27Z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