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平罗县2024年通伏乡新潮村盐碱地综合治理试点项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目有关情况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highlight w:val="none"/>
                <w:lang w:val="en-US" w:eastAsia="zh-CN"/>
              </w:rPr>
              <w:t>2405-640221-20-02-964715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平罗县农业农村局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平罗县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通伏乡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新潮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东至沿黄干渠，南至通城渠，西到惠农渠，北至周五公路。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4628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3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实施灌溉与排水工程、深翻控盐措施、表层土壤掺沙脱盐措施、农田地力提升工程、高效栽培技术措施、盐碱地监测和化验措施，信息自动化工程。</w:t>
            </w:r>
            <w:bookmarkStart w:id="0" w:name="_GoBack"/>
            <w:bookmarkEnd w:id="0"/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DFF5D5E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BF7220C"/>
    <w:rsid w:val="7CE57918"/>
    <w:rsid w:val="7D8D510B"/>
    <w:rsid w:val="7DEA2F34"/>
    <w:rsid w:val="7E834AB0"/>
    <w:rsid w:val="7EB22B23"/>
    <w:rsid w:val="7FEF76F1"/>
    <w:rsid w:val="7FFF9CD7"/>
    <w:rsid w:val="9EFEA253"/>
    <w:rsid w:val="CBFDB207"/>
    <w:rsid w:val="E2FFB1D7"/>
    <w:rsid w:val="ECFFA774"/>
    <w:rsid w:val="FDC5C8B1"/>
    <w:rsid w:val="FFDFF52A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8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2019-07-05T23:32:00Z</dcterms:created>
  <dc:creator>丁 凯</dc:creator>
  <cp:lastModifiedBy>nynct</cp:lastModifiedBy>
  <cp:lastPrinted>2024-04-02T14:55:00Z</cp:lastPrinted>
  <dcterms:modified xsi:type="dcterms:W3CDTF">2024-09-04T16:19:53Z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