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1191"/>
        <w:gridCol w:w="1164"/>
        <w:gridCol w:w="910"/>
        <w:gridCol w:w="963"/>
        <w:gridCol w:w="897"/>
        <w:gridCol w:w="951"/>
        <w:gridCol w:w="1030"/>
        <w:gridCol w:w="1017"/>
        <w:gridCol w:w="1017"/>
        <w:gridCol w:w="1030"/>
        <w:gridCol w:w="937"/>
        <w:gridCol w:w="1030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497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百日专项治理行动隐患排查情况汇总表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497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 ：                                                                填表日期： 2019年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3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一般隐患</w:t>
            </w:r>
          </w:p>
        </w:tc>
        <w:tc>
          <w:tcPr>
            <w:tcW w:w="72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数（家）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参加检查人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员（人/次）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排查一般隐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患（项）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其中：已整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改（项）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整改率（%）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投入整改资金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排查治理重大隐患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其中：列入治理计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划的重大隐患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累计落实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重点隐患（项）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已整改销号（项）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列入治理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计划的重大隐患（项）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落实治理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目标任务（项）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安全措施应急预案（项）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4497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              填表人：                            联系方式：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E2924"/>
    <w:rsid w:val="409E2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2019-07-22T09:44:00Z</dcterms:created>
  <dc:creator>白亚东</dc:creator>
  <cp:lastModifiedBy>白亚东</cp:lastModifiedBy>
  <dcterms:modified xsi:type="dcterms:W3CDTF">2019-07-22T09:44:48Z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