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07C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6A47F9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bookmarkStart w:id="0" w:name="_GoBack"/>
      <w:bookmarkEnd w:id="0"/>
    </w:p>
    <w:p w14:paraId="3886C3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2026年整治提升农村人居环境工作方案</w:t>
      </w:r>
    </w:p>
    <w:p w14:paraId="47065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（征求意见稿）</w:t>
      </w:r>
    </w:p>
    <w:p w14:paraId="558FEA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D26F6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是“十五五”开局之年，也是推进乡村全面振兴、加快农业农村现代化的关键之年。为深入学习贯彻习近平总书记关于学习运用“千万工程”经验、改善农村人居环境的重要指示精神，全面贯彻落实党的二十届四中全会、中央农村工作会议和自治区党委农村工作会议精神，持续整治提升农村人居环境，结合我区实际，制定如下工作方案。</w:t>
      </w:r>
    </w:p>
    <w:p w14:paraId="56B57C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一、突出系统谋划，</w:t>
      </w:r>
      <w:r>
        <w:rPr>
          <w:rFonts w:hint="eastAsia" w:ascii="Times New Roman" w:hAnsi="Times New Roman" w:eastAsia="黑体" w:cs="Times New Roman"/>
          <w:sz w:val="32"/>
          <w:szCs w:val="32"/>
          <w:lang w:val="en-US" w:eastAsia="zh-CN"/>
        </w:rPr>
        <w:t>积极推动</w:t>
      </w:r>
      <w:r>
        <w:rPr>
          <w:rFonts w:hint="default" w:ascii="Times New Roman" w:hAnsi="Times New Roman" w:eastAsia="黑体" w:cs="Times New Roman"/>
          <w:sz w:val="32"/>
          <w:szCs w:val="32"/>
          <w:lang w:val="en-US" w:eastAsia="zh-CN"/>
        </w:rPr>
        <w:t>“十五五”</w:t>
      </w:r>
      <w:r>
        <w:rPr>
          <w:rFonts w:hint="eastAsia" w:ascii="Times New Roman" w:hAnsi="Times New Roman" w:eastAsia="黑体" w:cs="Times New Roman"/>
          <w:sz w:val="32"/>
          <w:szCs w:val="32"/>
          <w:lang w:val="en-US" w:eastAsia="zh-CN"/>
        </w:rPr>
        <w:t>开好局起好步</w:t>
      </w:r>
    </w:p>
    <w:p w14:paraId="4ABBA20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1.启动实施持续整治提升农村人居环境五年行动。</w:t>
      </w:r>
      <w:r>
        <w:rPr>
          <w:rFonts w:hint="default" w:ascii="Times New Roman" w:hAnsi="Times New Roman" w:eastAsia="仿宋_GB2312" w:cs="Times New Roman"/>
          <w:sz w:val="32"/>
          <w:szCs w:val="32"/>
          <w:lang w:val="en-US" w:eastAsia="zh-CN"/>
        </w:rPr>
        <w:t>坚持规划引领、分类施策，科学设定</w:t>
      </w:r>
      <w:r>
        <w:rPr>
          <w:rFonts w:hint="eastAsia" w:ascii="Times New Roman" w:hAnsi="Times New Roman" w:eastAsia="仿宋_GB2312" w:cs="Times New Roman"/>
          <w:sz w:val="32"/>
          <w:szCs w:val="32"/>
          <w:lang w:val="en-US" w:eastAsia="zh-CN"/>
        </w:rPr>
        <w:t>“十五五”持续整治提升农村人居环境五年</w:t>
      </w:r>
      <w:r>
        <w:rPr>
          <w:rFonts w:hint="default" w:ascii="Times New Roman" w:hAnsi="Times New Roman" w:eastAsia="仿宋_GB2312" w:cs="Times New Roman"/>
          <w:sz w:val="32"/>
          <w:szCs w:val="32"/>
          <w:lang w:val="en-US" w:eastAsia="zh-CN"/>
        </w:rPr>
        <w:t>行动总目标和年度指标。突出分区分类指导，按村庄类型、发展基础</w:t>
      </w:r>
      <w:r>
        <w:rPr>
          <w:rFonts w:hint="eastAsia" w:ascii="Times New Roman" w:hAnsi="Times New Roman" w:eastAsia="仿宋_GB2312" w:cs="Times New Roman"/>
          <w:sz w:val="32"/>
          <w:szCs w:val="32"/>
          <w:lang w:val="en-US" w:eastAsia="zh-CN"/>
        </w:rPr>
        <w:t>等分层分类开展整治提升</w:t>
      </w:r>
      <w:r>
        <w:rPr>
          <w:rFonts w:hint="default" w:ascii="Times New Roman" w:hAnsi="Times New Roman" w:eastAsia="仿宋_GB2312" w:cs="Times New Roman"/>
          <w:sz w:val="32"/>
          <w:szCs w:val="32"/>
          <w:lang w:val="en-US" w:eastAsia="zh-CN"/>
        </w:rPr>
        <w:t>；强化任务衔接协同，推动环境整治与乡村建设、产业发展等</w:t>
      </w:r>
      <w:r>
        <w:rPr>
          <w:rFonts w:hint="eastAsia" w:ascii="Times New Roman" w:hAnsi="Times New Roman" w:eastAsia="仿宋_GB2312" w:cs="Times New Roman"/>
          <w:sz w:val="32"/>
          <w:szCs w:val="32"/>
          <w:lang w:val="en-US" w:eastAsia="zh-CN"/>
        </w:rPr>
        <w:t>有机融合</w:t>
      </w:r>
      <w:r>
        <w:rPr>
          <w:rFonts w:hint="default" w:ascii="Times New Roman" w:hAnsi="Times New Roman" w:eastAsia="仿宋_GB2312" w:cs="Times New Roman"/>
          <w:sz w:val="32"/>
          <w:szCs w:val="32"/>
          <w:lang w:val="en-US" w:eastAsia="zh-CN"/>
        </w:rPr>
        <w:t>；健全建管并重机制，明确产权归属和管护主体；落实农民主体地位，建立“村民议、村民定、村民管”的参与式谋划模式，确保行动可落地、可持续。</w:t>
      </w:r>
      <w:r>
        <w:rPr>
          <w:rFonts w:hint="default" w:ascii="Times New Roman" w:hAnsi="Times New Roman" w:eastAsia="楷体_GB2312" w:cs="Times New Roman"/>
          <w:b/>
          <w:bCs/>
          <w:sz w:val="32"/>
          <w:szCs w:val="32"/>
          <w:lang w:val="en-US" w:eastAsia="zh-CN"/>
        </w:rPr>
        <w:t>（自治区农业农村厅</w:t>
      </w:r>
      <w:r>
        <w:rPr>
          <w:rFonts w:hint="eastAsia" w:ascii="Times New Roman" w:hAnsi="Times New Roman" w:eastAsia="楷体_GB2312" w:cs="Times New Roman"/>
          <w:b/>
          <w:bCs/>
          <w:sz w:val="32"/>
          <w:szCs w:val="32"/>
          <w:lang w:val="en-US" w:eastAsia="zh-CN"/>
        </w:rPr>
        <w:t>、发展改革委、住房和城乡建设厅、生态环境厅、自然资源厅等按职责分工负责</w:t>
      </w:r>
      <w:r>
        <w:rPr>
          <w:rFonts w:hint="default" w:ascii="Times New Roman" w:hAnsi="Times New Roman" w:eastAsia="楷体_GB2312" w:cs="Times New Roman"/>
          <w:b/>
          <w:bCs/>
          <w:sz w:val="32"/>
          <w:szCs w:val="32"/>
          <w:lang w:val="en-US" w:eastAsia="zh-CN"/>
        </w:rPr>
        <w:t>）</w:t>
      </w:r>
    </w:p>
    <w:p w14:paraId="7F18B0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2.健全问题快速响应处置机制。</w:t>
      </w:r>
      <w:r>
        <w:rPr>
          <w:rFonts w:hint="default" w:ascii="Times New Roman" w:hAnsi="Times New Roman" w:eastAsia="仿宋_GB2312" w:cs="Times New Roman"/>
          <w:sz w:val="32"/>
          <w:szCs w:val="32"/>
          <w:lang w:val="en-US" w:eastAsia="zh-CN"/>
        </w:rPr>
        <w:t>建立健全农村人居环境问题发现、转办、整改、反馈闭环管理体系，进一步畅通群众诉求反映渠道。综合运用“四不两直”暗访调研、网络舆情监测、投诉举报受理等多种途径，明确线索收集、问题核查、督促整改、跟踪回访的工作规范，全面排查问题隐患。推动短板问题及时发现、快速响应、有效处置、限时反馈，切实提高问题发现率、处置率和农民满意度。</w:t>
      </w:r>
      <w:r>
        <w:rPr>
          <w:rFonts w:hint="default" w:ascii="Times New Roman" w:hAnsi="Times New Roman" w:eastAsia="楷体_GB2312" w:cs="Times New Roman"/>
          <w:b/>
          <w:bCs/>
          <w:sz w:val="32"/>
          <w:szCs w:val="32"/>
          <w:lang w:val="en-US" w:eastAsia="zh-CN"/>
        </w:rPr>
        <w:t>（自治区农业农村厅</w:t>
      </w:r>
      <w:r>
        <w:rPr>
          <w:rFonts w:hint="eastAsia" w:ascii="Times New Roman" w:hAnsi="Times New Roman" w:eastAsia="楷体_GB2312" w:cs="Times New Roman"/>
          <w:b/>
          <w:bCs/>
          <w:sz w:val="32"/>
          <w:szCs w:val="32"/>
          <w:lang w:val="en-US" w:eastAsia="zh-CN"/>
        </w:rPr>
        <w:t>、住房和城乡建设厅、生态环境厅、自然资源厅等按职责分工负责</w:t>
      </w:r>
      <w:r>
        <w:rPr>
          <w:rFonts w:hint="default" w:ascii="Times New Roman" w:hAnsi="Times New Roman" w:eastAsia="楷体_GB2312" w:cs="Times New Roman"/>
          <w:b/>
          <w:bCs/>
          <w:sz w:val="32"/>
          <w:szCs w:val="32"/>
          <w:lang w:val="en-US" w:eastAsia="zh-CN"/>
        </w:rPr>
        <w:t>）</w:t>
      </w:r>
    </w:p>
    <w:p w14:paraId="618BCA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二、突出</w:t>
      </w:r>
      <w:r>
        <w:rPr>
          <w:rFonts w:hint="eastAsia" w:ascii="Times New Roman" w:hAnsi="Times New Roman" w:eastAsia="黑体" w:cs="Times New Roman"/>
          <w:sz w:val="32"/>
          <w:szCs w:val="32"/>
          <w:lang w:val="en-US" w:eastAsia="zh-CN"/>
        </w:rPr>
        <w:t>提质增效</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以钉钉子精神</w:t>
      </w:r>
      <w:r>
        <w:rPr>
          <w:rFonts w:hint="default" w:ascii="Times New Roman" w:hAnsi="Times New Roman" w:eastAsia="黑体" w:cs="Times New Roman"/>
          <w:sz w:val="32"/>
          <w:szCs w:val="32"/>
          <w:lang w:val="en-US" w:eastAsia="zh-CN"/>
        </w:rPr>
        <w:t>推进农村厕所革命</w:t>
      </w:r>
    </w:p>
    <w:p w14:paraId="1FB407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3.稳步推进农村户厕改造。</w:t>
      </w:r>
      <w:r>
        <w:rPr>
          <w:rFonts w:hint="default" w:ascii="Times New Roman" w:hAnsi="Times New Roman" w:eastAsia="仿宋_GB2312" w:cs="Times New Roman"/>
          <w:sz w:val="32"/>
          <w:szCs w:val="32"/>
          <w:lang w:val="en-US" w:eastAsia="zh-CN"/>
        </w:rPr>
        <w:t>坚持“数量服从质量、进度服从实效，求好不求快”原则，立足各地实际，科学选定改厕技术模式，因地制宜、因村施策，积极稳妥推进改厕任务落实，统筹山川区域改厕进度，以钉钉子精神推动户厕问题解决。年内完成农村卫生厕所改造2.2万座，全区农村卫生厕所普及率达到73%以上。</w:t>
      </w:r>
      <w:r>
        <w:rPr>
          <w:rFonts w:hint="default" w:ascii="Times New Roman" w:hAnsi="Times New Roman" w:eastAsia="楷体_GB2312" w:cs="Times New Roman"/>
          <w:b/>
          <w:bCs/>
          <w:sz w:val="32"/>
          <w:szCs w:val="32"/>
          <w:lang w:val="en-US" w:eastAsia="zh-CN"/>
        </w:rPr>
        <w:t>（自治区农业农村厅牵头）</w:t>
      </w:r>
    </w:p>
    <w:p w14:paraId="2FC4BD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4.</w:t>
      </w:r>
      <w:r>
        <w:rPr>
          <w:rFonts w:hint="eastAsia" w:ascii="Times New Roman" w:hAnsi="Times New Roman" w:eastAsia="楷体_GB2312" w:cs="Times New Roman"/>
          <w:b/>
          <w:bCs/>
          <w:sz w:val="32"/>
          <w:szCs w:val="32"/>
          <w:lang w:val="en-US" w:eastAsia="zh-CN"/>
        </w:rPr>
        <w:t>强</w:t>
      </w:r>
      <w:r>
        <w:rPr>
          <w:rFonts w:hint="default" w:ascii="Times New Roman" w:hAnsi="Times New Roman" w:eastAsia="楷体_GB2312" w:cs="Times New Roman"/>
          <w:b/>
          <w:bCs/>
          <w:sz w:val="32"/>
          <w:szCs w:val="32"/>
          <w:lang w:val="en-US" w:eastAsia="zh-CN"/>
        </w:rPr>
        <w:t>化问题厕所动态清零。</w:t>
      </w:r>
      <w:r>
        <w:rPr>
          <w:rFonts w:hint="default" w:ascii="Times New Roman" w:hAnsi="Times New Roman" w:eastAsia="仿宋_GB2312" w:cs="Times New Roman"/>
          <w:sz w:val="32"/>
          <w:szCs w:val="32"/>
          <w:lang w:val="en-US" w:eastAsia="zh-CN"/>
        </w:rPr>
        <w:t>聚焦早期建设标准偏低、设施老化严重的厕所，区分轻重缓急，分步骤、有重点地实施改造提升。紧盯存量问题厕所，持续加大暗访抽查、“回头看”及群众满意度评价等工作力度，分类分步、按年度抓好问题整改，确保问题厕所动态清零、整改成效群众认可。对已完成整改的问题厕所，强化后续跟踪核查与质效评估，切实巩固整改成果。</w:t>
      </w:r>
      <w:r>
        <w:rPr>
          <w:rFonts w:hint="default" w:ascii="Times New Roman" w:hAnsi="Times New Roman" w:eastAsia="楷体_GB2312" w:cs="Times New Roman"/>
          <w:b/>
          <w:bCs/>
          <w:sz w:val="32"/>
          <w:szCs w:val="32"/>
          <w:lang w:val="en-US" w:eastAsia="zh-CN"/>
        </w:rPr>
        <w:t>（自治区农业农村厅牵头）</w:t>
      </w:r>
    </w:p>
    <w:p w14:paraId="15F790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5.加强改厕技术创新与适用技术推广。</w:t>
      </w:r>
      <w:r>
        <w:rPr>
          <w:rFonts w:hint="default" w:ascii="Times New Roman" w:hAnsi="Times New Roman" w:eastAsia="仿宋_GB2312" w:cs="Times New Roman"/>
          <w:sz w:val="32"/>
          <w:szCs w:val="32"/>
          <w:lang w:val="en-US" w:eastAsia="zh-CN"/>
        </w:rPr>
        <w:t>立足节水防冻、经济实用、维护便捷要求，重点推广节水防冻式、积肥式户用卫生旱厕等成本低、效果好、易维护的技术模式，因地制宜开展真空负压微水冲式技术试点示范，着力推进技术集成创新与本土化应用。严格执行农村改厕规范标准，全面落实“双确认”“首厕过关”及“4+4+2”全过程管控机制，确保改厕质量可靠、长效管护到位。</w:t>
      </w:r>
      <w:r>
        <w:rPr>
          <w:rFonts w:hint="default" w:ascii="Times New Roman" w:hAnsi="Times New Roman" w:eastAsia="楷体_GB2312" w:cs="Times New Roman"/>
          <w:b/>
          <w:bCs/>
          <w:sz w:val="32"/>
          <w:szCs w:val="32"/>
          <w:lang w:val="en-US" w:eastAsia="zh-CN"/>
        </w:rPr>
        <w:t>（自治区农业农村厅、</w:t>
      </w:r>
      <w:r>
        <w:rPr>
          <w:rFonts w:hint="eastAsia" w:ascii="Times New Roman" w:hAnsi="Times New Roman" w:eastAsia="楷体_GB2312" w:cs="Times New Roman"/>
          <w:b/>
          <w:bCs/>
          <w:sz w:val="32"/>
          <w:szCs w:val="32"/>
          <w:lang w:val="en-US" w:eastAsia="zh-CN"/>
        </w:rPr>
        <w:t>住房和城乡建设厅、卫生健康委、市场监管</w:t>
      </w:r>
      <w:r>
        <w:rPr>
          <w:rFonts w:hint="default" w:ascii="Times New Roman" w:hAnsi="Times New Roman" w:eastAsia="楷体_GB2312" w:cs="Times New Roman"/>
          <w:b/>
          <w:bCs/>
          <w:sz w:val="32"/>
          <w:szCs w:val="32"/>
          <w:lang w:val="en-US" w:eastAsia="zh-CN"/>
        </w:rPr>
        <w:t>厅等按职责分工负责）</w:t>
      </w:r>
    </w:p>
    <w:p w14:paraId="412018A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6.规范乡村公厕建设与管护。</w:t>
      </w:r>
      <w:r>
        <w:rPr>
          <w:rFonts w:hint="default" w:ascii="Times New Roman" w:hAnsi="Times New Roman" w:eastAsia="仿宋_GB2312" w:cs="Times New Roman"/>
          <w:sz w:val="32"/>
          <w:szCs w:val="32"/>
          <w:lang w:val="en-US" w:eastAsia="zh-CN"/>
        </w:rPr>
        <w:t>按需建设公共厕所，重点满足集贸市场、旅游景区、乡村医疗教育场所等人员密集区域需求。推动公厕建设与污水管网有效衔接，将公厕管护纳入村庄公共基础设施管护责任清单，健全日常保洁、设施维护、规范使用的一体化运维制度。明确管护主体与经费保障渠道，确保乡村公厕建得好、管到位、用得住。</w:t>
      </w:r>
      <w:r>
        <w:rPr>
          <w:rFonts w:hint="default" w:ascii="Times New Roman" w:hAnsi="Times New Roman" w:eastAsia="楷体_GB2312" w:cs="Times New Roman"/>
          <w:b/>
          <w:bCs/>
          <w:sz w:val="32"/>
          <w:szCs w:val="32"/>
          <w:lang w:val="en-US" w:eastAsia="zh-CN"/>
        </w:rPr>
        <w:t>（自治区农业农村厅、住房和城乡建设厅、文化和旅游厅、生态环境厅、自然资源厅、卫生健康委、教育厅、商务厅等按职责分工负责）</w:t>
      </w:r>
    </w:p>
    <w:p w14:paraId="0C9A6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二、突出资源化利用，统筹推进农村生活污水治理</w:t>
      </w:r>
    </w:p>
    <w:p w14:paraId="2120F45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7.分类推进农村生活污水治理。</w:t>
      </w:r>
      <w:r>
        <w:rPr>
          <w:rFonts w:hint="default" w:ascii="Times New Roman" w:hAnsi="Times New Roman" w:eastAsia="仿宋_GB2312" w:cs="Times New Roman"/>
          <w:sz w:val="32"/>
          <w:szCs w:val="32"/>
          <w:lang w:val="en-US" w:eastAsia="zh-CN"/>
        </w:rPr>
        <w:t>持续开展农村生活污水治理攻坚，因地制宜、分类施策，稳步提升治理覆盖水平。常态化开展集中式污水处理设施运行排查整治，健全运维监督考核机制，定期抽查评估运行状况，着力提高设施正常运行率和达标排放水平。到2026年底，全区农村生活污水治理率达到63%以上。加强农村“厕所革命”与生活污水治理有效衔接，推动粪污资源化利用与污水协同处理。</w:t>
      </w:r>
      <w:r>
        <w:rPr>
          <w:rFonts w:hint="default" w:ascii="Times New Roman" w:hAnsi="Times New Roman" w:eastAsia="楷体_GB2312" w:cs="Times New Roman"/>
          <w:b/>
          <w:bCs/>
          <w:sz w:val="32"/>
          <w:szCs w:val="32"/>
          <w:lang w:val="en-US" w:eastAsia="zh-CN"/>
        </w:rPr>
        <w:t>（自治区生态环境厅、农业农村厅等按职责分工负责）</w:t>
      </w:r>
    </w:p>
    <w:p w14:paraId="78ADAE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8.强化农村饮用水水源地保护。</w:t>
      </w:r>
      <w:r>
        <w:rPr>
          <w:rFonts w:hint="default" w:ascii="Times New Roman" w:hAnsi="Times New Roman" w:eastAsia="仿宋_GB2312" w:cs="Times New Roman"/>
          <w:sz w:val="32"/>
          <w:szCs w:val="32"/>
          <w:lang w:val="en-US" w:eastAsia="zh-CN"/>
        </w:rPr>
        <w:t>严格落实“划、立、治”总体要求，加快推进新增饮用水水源保护区划定及规范化建设。深入开展农村集中式饮用水水源水质专项调查，规范开展常态化水质监测，动态掌握水质变化。健全水源地环境保护长效管理机制，加大日常巡查监管与风险防范力度，切实保障农村群众饮水安全与水源环境稳定。</w:t>
      </w:r>
      <w:r>
        <w:rPr>
          <w:rFonts w:hint="default" w:ascii="Times New Roman" w:hAnsi="Times New Roman" w:eastAsia="楷体_GB2312" w:cs="Times New Roman"/>
          <w:b/>
          <w:bCs/>
          <w:sz w:val="32"/>
          <w:szCs w:val="32"/>
          <w:lang w:val="en-US" w:eastAsia="zh-CN"/>
        </w:rPr>
        <w:t>（自治区生态环境厅、水利厅等按职责分工负责）</w:t>
      </w:r>
    </w:p>
    <w:p w14:paraId="7C6EB68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9.实施农村水系综合整治工程。</w:t>
      </w:r>
      <w:r>
        <w:rPr>
          <w:rFonts w:hint="default" w:ascii="Times New Roman" w:hAnsi="Times New Roman" w:eastAsia="仿宋_GB2312" w:cs="Times New Roman"/>
          <w:sz w:val="32"/>
          <w:szCs w:val="32"/>
          <w:lang w:val="en-US" w:eastAsia="zh-CN"/>
        </w:rPr>
        <w:t>加快推进青铜峡、喊叫水等中型灌区现代化改造及配套水利基础设施建设。统筹实施贺兰山东麓导洪堤、泄洪沟、排洪沟、拦洪库体系治理，有序推进水洞沟、上下秦沟等中小河流及山洪沟道系统整治。积极开展乡村河湖岸坡整治与水土流失综合治理，提升河道行洪能力、调蓄功能与水体自净能力，持续优化乡村河湖水系空间格局。</w:t>
      </w:r>
      <w:r>
        <w:rPr>
          <w:rFonts w:hint="default" w:ascii="Times New Roman" w:hAnsi="Times New Roman" w:eastAsia="楷体_GB2312" w:cs="Times New Roman"/>
          <w:b/>
          <w:bCs/>
          <w:sz w:val="32"/>
          <w:szCs w:val="32"/>
          <w:lang w:val="en-US" w:eastAsia="zh-CN"/>
        </w:rPr>
        <w:t>（自治区水利厅牵头）</w:t>
      </w:r>
    </w:p>
    <w:p w14:paraId="7C716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三、突出分类处置，持续完善农村生活垃圾治理体系</w:t>
      </w:r>
    </w:p>
    <w:p w14:paraId="4B4027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10.健全农村生活垃圾收运处置体系。</w:t>
      </w:r>
      <w:r>
        <w:rPr>
          <w:rFonts w:hint="default" w:ascii="Times New Roman" w:hAnsi="Times New Roman" w:eastAsia="仿宋_GB2312" w:cs="Times New Roman"/>
          <w:sz w:val="32"/>
          <w:szCs w:val="32"/>
          <w:lang w:val="en-US" w:eastAsia="zh-CN"/>
        </w:rPr>
        <w:t>统筹县、乡、村三级设施建设和服务，优化设施布局，在人口集中地区合理配置区域性集中处理设施，在人口分散、交通不便地区因地制宜建设小型化、分散式焚烧处理设施，推动处理模式由“填埋为主”向“焚烧为主”转变。强化保洁队伍建设管理，推行专业化治理、市场化运营。统筹开展非法倾倒农村生活垃圾和生活垃圾填埋场环境污染隐患排查治理，强化城乡结合部、行政交界区、坑塘沟渠、交通干线沿线等重点区域动态巡查与综合治理，着力破解“垃圾</w:t>
      </w:r>
      <w:r>
        <w:rPr>
          <w:rFonts w:hint="eastAsia" w:ascii="Times New Roman" w:hAnsi="Times New Roman" w:eastAsia="仿宋_GB2312" w:cs="Times New Roman"/>
          <w:sz w:val="32"/>
          <w:szCs w:val="32"/>
          <w:lang w:val="en-US" w:eastAsia="zh-CN"/>
        </w:rPr>
        <w:t>堆积</w:t>
      </w:r>
      <w:r>
        <w:rPr>
          <w:rFonts w:hint="default" w:ascii="Times New Roman" w:hAnsi="Times New Roman" w:eastAsia="仿宋_GB2312" w:cs="Times New Roman"/>
          <w:sz w:val="32"/>
          <w:szCs w:val="32"/>
          <w:lang w:val="en-US" w:eastAsia="zh-CN"/>
        </w:rPr>
        <w:t>”难题。农村生活垃圾得到治理的行政村占比达到99%以上。</w:t>
      </w:r>
      <w:r>
        <w:rPr>
          <w:rFonts w:hint="default" w:ascii="Times New Roman" w:hAnsi="Times New Roman" w:eastAsia="楷体_GB2312" w:cs="Times New Roman"/>
          <w:b/>
          <w:bCs/>
          <w:sz w:val="32"/>
          <w:szCs w:val="32"/>
          <w:lang w:val="en-US" w:eastAsia="zh-CN"/>
        </w:rPr>
        <w:t>（自治区住房和城乡建设厅、生态环境厅等按职责分工负责）</w:t>
      </w:r>
    </w:p>
    <w:p w14:paraId="628A6D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11.推行农村生活垃圾分类减量与资源化利用。</w:t>
      </w:r>
      <w:r>
        <w:rPr>
          <w:rFonts w:hint="default" w:ascii="Times New Roman" w:hAnsi="Times New Roman" w:eastAsia="仿宋_GB2312" w:cs="Times New Roman"/>
          <w:sz w:val="32"/>
          <w:szCs w:val="32"/>
          <w:lang w:val="en-US" w:eastAsia="zh-CN"/>
        </w:rPr>
        <w:t>总结推广盐池县偏远镇村生活垃圾小型化、分散式焚烧试点经验，推进农村生活垃圾中转设施升级改造，促进垃圾减量化和资源化。积极推行积分兑换、以旧换新、以物易物等方式，推进农村生活垃圾源头分类减量，提升资源化利用水平。</w:t>
      </w:r>
      <w:r>
        <w:rPr>
          <w:rFonts w:hint="eastAsia" w:ascii="Times New Roman" w:hAnsi="Times New Roman" w:eastAsia="仿宋_GB2312" w:cs="Times New Roman"/>
          <w:sz w:val="32"/>
          <w:szCs w:val="32"/>
          <w:lang w:val="en-US" w:eastAsia="zh-CN"/>
        </w:rPr>
        <w:t>积极推进供销合作社再生资源回收利用网络与城乡环卫清运网络“两网融合”，推进农村生活垃圾回收利用。</w:t>
      </w:r>
      <w:r>
        <w:rPr>
          <w:rFonts w:hint="default" w:ascii="Times New Roman" w:hAnsi="Times New Roman" w:eastAsia="仿宋_GB2312" w:cs="Times New Roman"/>
          <w:sz w:val="32"/>
          <w:szCs w:val="32"/>
          <w:lang w:val="en-US" w:eastAsia="zh-CN"/>
        </w:rPr>
        <w:t>强化巡查监管，依法严厉查处生活及建筑垃圾违规倾倒侵占河道、沟道、水库、耕地、林地、湿地、自然保护地等违法违规行为。</w:t>
      </w:r>
      <w:r>
        <w:rPr>
          <w:rFonts w:hint="default" w:ascii="Times New Roman" w:hAnsi="Times New Roman" w:eastAsia="楷体_GB2312" w:cs="Times New Roman"/>
          <w:b/>
          <w:bCs/>
          <w:sz w:val="32"/>
          <w:szCs w:val="32"/>
          <w:lang w:val="en-US" w:eastAsia="zh-CN"/>
        </w:rPr>
        <w:t>（自治区住房和城乡建设厅、水利厅、自然资源厅、林业和草原局</w:t>
      </w:r>
      <w:r>
        <w:rPr>
          <w:rFonts w:hint="eastAsia" w:ascii="Times New Roman" w:hAnsi="Times New Roman" w:eastAsia="楷体_GB2312" w:cs="Times New Roman"/>
          <w:b/>
          <w:bCs/>
          <w:sz w:val="32"/>
          <w:szCs w:val="32"/>
          <w:lang w:val="en-US" w:eastAsia="zh-CN"/>
        </w:rPr>
        <w:t>、供销社</w:t>
      </w:r>
      <w:r>
        <w:rPr>
          <w:rFonts w:hint="default" w:ascii="Times New Roman" w:hAnsi="Times New Roman" w:eastAsia="楷体_GB2312" w:cs="Times New Roman"/>
          <w:b/>
          <w:bCs/>
          <w:sz w:val="32"/>
          <w:szCs w:val="32"/>
          <w:lang w:val="en-US" w:eastAsia="zh-CN"/>
        </w:rPr>
        <w:t>等按职责分工负责）</w:t>
      </w:r>
    </w:p>
    <w:p w14:paraId="60257A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四、突出循环利用，协同推进农业面源污染治理</w:t>
      </w:r>
    </w:p>
    <w:p w14:paraId="53809D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12.强化农业生产废弃物资源化利用。</w:t>
      </w:r>
      <w:r>
        <w:rPr>
          <w:rFonts w:hint="default" w:ascii="Times New Roman" w:hAnsi="Times New Roman" w:eastAsia="仿宋_GB2312" w:cs="Times New Roman"/>
          <w:sz w:val="32"/>
          <w:szCs w:val="32"/>
          <w:lang w:val="en-US" w:eastAsia="zh-CN"/>
        </w:rPr>
        <w:t>严格执行地膜产品质量标准，大力推广加厚高强度地膜与全生物降解地膜应用，健全废旧地膜专业化回收利用网络，完善覆盖“生产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使用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回收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处理利用”全链条的农膜污染长效治理机制。到2026年，农用残膜回收率提升至90%以上。深入推进秸秆综合利用，因地制宜推广收储、除尘、加工一体化等成熟技术，积极创新沃土还田、清洁能源转化、原料加工增值等利用模式，确保到2026年底全区秸秆综合利用率稳定在90%以上。规范农药经营行为，增强经营者和使用者环境保护意识，推动农药包装废弃物及废旧农药应收尽收、资源化利用与无害化处置。到2026年，全区农药包装废弃物回收率达85%以上，处理率达100%，基本实现有效回收与安全处置。</w:t>
      </w:r>
      <w:r>
        <w:rPr>
          <w:rFonts w:hint="default" w:ascii="Times New Roman" w:hAnsi="Times New Roman" w:eastAsia="楷体_GB2312" w:cs="Times New Roman"/>
          <w:b/>
          <w:bCs/>
          <w:sz w:val="32"/>
          <w:szCs w:val="32"/>
          <w:lang w:val="en-US" w:eastAsia="zh-CN"/>
        </w:rPr>
        <w:t>（自治区农业农村厅、生态环境厅、市场监管厅等按职责分工负责）</w:t>
      </w:r>
    </w:p>
    <w:p w14:paraId="127E96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13.深化农业面源污染综合治理。</w:t>
      </w:r>
      <w:r>
        <w:rPr>
          <w:rFonts w:hint="default" w:ascii="Times New Roman" w:hAnsi="Times New Roman" w:eastAsia="仿宋_GB2312" w:cs="Times New Roman"/>
          <w:sz w:val="32"/>
          <w:szCs w:val="32"/>
          <w:lang w:val="en-US" w:eastAsia="zh-CN"/>
        </w:rPr>
        <w:t>持续推进化肥农药减量增效行动，大力推广测土配方施肥、绿色防控与统防统治技术，切实从源头削减农业投入品污染。以黄河干流及重点支流沿线区域为重点，加大农业面源污染突出区域系统治理力度，有序实施综合治理项目。强化耕地土壤环境质量类别划分成果应用，扎实推进受污染耕地安全利用与严格管控措施。加强水产养殖尾水治理，推动规模养殖场尾水实现达标排放或循环利用，促进水域生态环境持续改善。</w:t>
      </w:r>
      <w:r>
        <w:rPr>
          <w:rFonts w:hint="default" w:ascii="Times New Roman" w:hAnsi="Times New Roman" w:eastAsia="楷体_GB2312" w:cs="Times New Roman"/>
          <w:b/>
          <w:bCs/>
          <w:sz w:val="32"/>
          <w:szCs w:val="32"/>
          <w:lang w:val="en-US" w:eastAsia="zh-CN"/>
        </w:rPr>
        <w:t>（自治区农业农村厅、生态环境厅等按职责分工负责）</w:t>
      </w:r>
    </w:p>
    <w:p w14:paraId="6B4426B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14.优化养殖布局与标准化改造。</w:t>
      </w:r>
      <w:r>
        <w:rPr>
          <w:rFonts w:hint="default" w:ascii="Times New Roman" w:hAnsi="Times New Roman" w:eastAsia="仿宋_GB2312" w:cs="Times New Roman"/>
          <w:sz w:val="32"/>
          <w:szCs w:val="32"/>
          <w:lang w:val="en-US" w:eastAsia="zh-CN"/>
        </w:rPr>
        <w:t>合理规划建设集中养殖园区及配套设施，对入园养殖户给予适当奖补扶持。持续推进已建成集中养殖园区标准化改造提升。针对养殖户较多、常住人口空心化率较高或以留守老人为主的村庄，支持散养户通过建设独立标准化圈舍、设置物理隔离带等方式实现居住区与养殖区完全分离。实施圈舍标准化改造，鼓励建设统一规划、通风采光良好、配备独立进出通道的封闭式圈棚，有效改善农村人居环境，提升健康养殖水平。同步加强人畜共患疾病防治，完善监测预警与联防联控机制，保障公共卫生安全。</w:t>
      </w:r>
      <w:r>
        <w:rPr>
          <w:rFonts w:hint="default" w:ascii="Times New Roman" w:hAnsi="Times New Roman" w:eastAsia="楷体_GB2312" w:cs="Times New Roman"/>
          <w:b/>
          <w:bCs/>
          <w:sz w:val="32"/>
          <w:szCs w:val="32"/>
          <w:lang w:val="en-US" w:eastAsia="zh-CN"/>
        </w:rPr>
        <w:t>（自治区农业农村厅、生态环境厅</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卫生健康委等按职责分工负责）</w:t>
      </w:r>
    </w:p>
    <w:p w14:paraId="5519FEB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15.创新畜禽粪污资源化利用模式。</w:t>
      </w:r>
      <w:r>
        <w:rPr>
          <w:rFonts w:hint="default" w:ascii="Times New Roman" w:hAnsi="Times New Roman" w:eastAsia="仿宋_GB2312" w:cs="Times New Roman"/>
          <w:sz w:val="32"/>
          <w:szCs w:val="32"/>
          <w:lang w:val="en-US" w:eastAsia="zh-CN"/>
        </w:rPr>
        <w:t>积极争取中央绿色种养循环农业试点项目，加快实施畜禽粪污资源化利用工程，支持社会化服务组织在畜禽养殖集中区域建设粪污集中处理中心，推广运用西吉县兴隆镇“牛粪银行”等畜禽粪污处理模式，探索“村集体主导+专业服务”运行机制，依托村集体合作社或引入专业化服务企业，对散养户产生的畜禽粪污实行统一收集、转运和集中处理。全面提升畜禽粪污收集、贮存、转运和利用的服务能力与水平。到2026年底，</w:t>
      </w:r>
      <w:r>
        <w:rPr>
          <w:rFonts w:hint="eastAsia" w:ascii="Times New Roman" w:hAnsi="Times New Roman" w:eastAsia="仿宋_GB2312" w:cs="Times New Roman"/>
          <w:sz w:val="32"/>
          <w:szCs w:val="32"/>
          <w:lang w:val="en-US" w:eastAsia="zh-CN"/>
        </w:rPr>
        <w:t>行政村畜禽粪污综合治理措施覆盖率达到90%以上，</w:t>
      </w:r>
      <w:r>
        <w:rPr>
          <w:rFonts w:hint="default" w:ascii="Times New Roman" w:hAnsi="Times New Roman" w:eastAsia="仿宋_GB2312" w:cs="Times New Roman"/>
          <w:sz w:val="32"/>
          <w:szCs w:val="32"/>
          <w:lang w:val="en-US" w:eastAsia="zh-CN"/>
        </w:rPr>
        <w:t>畜禽粪污综合利用率保持在9</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b/>
          <w:bCs/>
          <w:sz w:val="32"/>
          <w:szCs w:val="32"/>
          <w:lang w:val="en-US" w:eastAsia="zh-CN"/>
        </w:rPr>
        <w:t>（自治区农业农村厅、生态环境厅等按职责分工负责）</w:t>
      </w:r>
    </w:p>
    <w:p w14:paraId="31FFDD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五、突出</w:t>
      </w:r>
      <w:r>
        <w:rPr>
          <w:rFonts w:hint="eastAsia" w:ascii="Times New Roman" w:hAnsi="Times New Roman" w:eastAsia="黑体" w:cs="Times New Roman"/>
          <w:sz w:val="32"/>
          <w:szCs w:val="32"/>
          <w:lang w:val="en-US" w:eastAsia="zh-CN"/>
        </w:rPr>
        <w:t>风貌引导</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着力推进村庄微改造精提升</w:t>
      </w:r>
    </w:p>
    <w:p w14:paraId="3615E2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16.统筹县域城乡规划布局。</w:t>
      </w:r>
      <w:r>
        <w:rPr>
          <w:rFonts w:hint="default" w:ascii="Times New Roman" w:hAnsi="Times New Roman" w:eastAsia="仿宋_GB2312" w:cs="Times New Roman"/>
          <w:sz w:val="32"/>
          <w:szCs w:val="32"/>
          <w:lang w:val="en-US" w:eastAsia="zh-CN"/>
        </w:rPr>
        <w:t>完善村庄规划管理制度，严格落实《宁夏回族自治区村庄分类认定标准（试行）》《宁夏回族自治区村庄分类动态管理办法（试行）》，结合沿黄、中部干旱带、南部山区区域特征，科学优化村庄类型，建立定期评估和动态调整机制，差异化引导规划编制实施。充分发挥国土空间规划统筹作用，促进城镇基础设施向农村延伸、公共服务向农村覆盖，引导人口与产业向县城、中心镇和中心村有序集聚。加强对村庄公园、广场、道路街巷、农房院落等公共空间的建设引导与风貌管控，推动空间布局优化、功能配套完善，整体提升村庄空间品质和宜居水平。</w:t>
      </w:r>
      <w:r>
        <w:rPr>
          <w:rFonts w:hint="default" w:ascii="Times New Roman" w:hAnsi="Times New Roman" w:eastAsia="楷体_GB2312" w:cs="Times New Roman"/>
          <w:b/>
          <w:bCs/>
          <w:sz w:val="32"/>
          <w:szCs w:val="32"/>
          <w:lang w:val="en-US" w:eastAsia="zh-CN"/>
        </w:rPr>
        <w:t>（自治区党委农办、自然资源厅、发展改革委、农业农村厅等按职责分工负责）</w:t>
      </w:r>
    </w:p>
    <w:p w14:paraId="62E6FF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17.持续推进村庄清洁行动。</w:t>
      </w:r>
      <w:r>
        <w:rPr>
          <w:rFonts w:hint="default" w:ascii="Times New Roman" w:hAnsi="Times New Roman" w:eastAsia="仿宋_GB2312" w:cs="Times New Roman"/>
          <w:sz w:val="32"/>
          <w:szCs w:val="32"/>
          <w:lang w:val="en-US" w:eastAsia="zh-CN"/>
        </w:rPr>
        <w:t>常态化开展以“三清一改”为重点的村庄清洁行动，健全保洁长效机制。聚焦房前屋后、村道两侧、坑塘沟渠、集市周边等关键区域，全面清理</w:t>
      </w:r>
      <w:r>
        <w:rPr>
          <w:rFonts w:hint="eastAsia" w:ascii="Times New Roman" w:hAnsi="Times New Roman" w:eastAsia="仿宋_GB2312" w:cs="Times New Roman"/>
          <w:sz w:val="32"/>
          <w:szCs w:val="32"/>
          <w:lang w:val="en-US" w:eastAsia="zh-CN"/>
        </w:rPr>
        <w:t>整治</w:t>
      </w:r>
      <w:r>
        <w:rPr>
          <w:rFonts w:hint="default" w:ascii="Times New Roman" w:hAnsi="Times New Roman" w:eastAsia="仿宋_GB2312" w:cs="Times New Roman"/>
          <w:sz w:val="32"/>
          <w:szCs w:val="32"/>
          <w:lang w:val="en-US" w:eastAsia="zh-CN"/>
        </w:rPr>
        <w:t>垃圾乱堆、污水乱排、广告乱贴等突出问题，加强农村电力线、广播电视线</w:t>
      </w:r>
      <w:r>
        <w:rPr>
          <w:rFonts w:hint="eastAsia" w:ascii="Times New Roman" w:hAnsi="Times New Roman" w:eastAsia="仿宋_GB2312" w:cs="Times New Roman"/>
          <w:sz w:val="32"/>
          <w:szCs w:val="32"/>
          <w:lang w:val="en-US" w:eastAsia="zh-CN"/>
        </w:rPr>
        <w:t>、网线</w:t>
      </w:r>
      <w:r>
        <w:rPr>
          <w:rFonts w:hint="default" w:ascii="Times New Roman" w:hAnsi="Times New Roman" w:eastAsia="仿宋_GB2312" w:cs="Times New Roman"/>
          <w:sz w:val="32"/>
          <w:szCs w:val="32"/>
          <w:lang w:val="en-US" w:eastAsia="zh-CN"/>
        </w:rPr>
        <w:t>维护梳理，切实改善农村人居环境。强化背街小巷、村庄边缘、城乡结合部等薄弱地带环境整治，做到清死角、除盲区、治顽疾。</w:t>
      </w:r>
      <w:r>
        <w:rPr>
          <w:rFonts w:hint="eastAsia" w:ascii="Times New Roman" w:hAnsi="Times New Roman" w:eastAsia="仿宋_GB2312" w:cs="Times New Roman"/>
          <w:sz w:val="32"/>
          <w:szCs w:val="32"/>
          <w:lang w:val="en-US" w:eastAsia="zh-CN"/>
        </w:rPr>
        <w:t>实施乡村</w:t>
      </w:r>
      <w:r>
        <w:rPr>
          <w:rFonts w:hint="default" w:ascii="Times New Roman" w:hAnsi="Times New Roman" w:eastAsia="仿宋_GB2312" w:cs="Times New Roman"/>
          <w:sz w:val="32"/>
          <w:szCs w:val="32"/>
          <w:lang w:val="en-US" w:eastAsia="zh-CN"/>
        </w:rPr>
        <w:t>绿化美化</w:t>
      </w:r>
      <w:r>
        <w:rPr>
          <w:rFonts w:hint="eastAsia" w:ascii="Times New Roman" w:hAnsi="Times New Roman" w:eastAsia="仿宋_GB2312" w:cs="Times New Roman"/>
          <w:sz w:val="32"/>
          <w:szCs w:val="32"/>
          <w:lang w:val="en-US" w:eastAsia="zh-CN"/>
        </w:rPr>
        <w:t>行动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组织开展农村“四旁”绿化，</w:t>
      </w:r>
      <w:r>
        <w:rPr>
          <w:rFonts w:hint="default" w:ascii="Times New Roman" w:hAnsi="Times New Roman" w:eastAsia="仿宋_GB2312" w:cs="Times New Roman"/>
          <w:sz w:val="32"/>
          <w:szCs w:val="32"/>
          <w:lang w:val="en-US" w:eastAsia="zh-CN"/>
        </w:rPr>
        <w:t>鼓励利用零散闲置土地见缝插绿，因地制宜打造小菜园、小果园、小花园等微景观。鼓励有条件的</w:t>
      </w:r>
      <w:r>
        <w:rPr>
          <w:rFonts w:hint="eastAsia" w:ascii="Times New Roman" w:hAnsi="Times New Roman" w:eastAsia="仿宋_GB2312" w:cs="Times New Roman"/>
          <w:sz w:val="32"/>
          <w:szCs w:val="32"/>
          <w:lang w:val="en-US" w:eastAsia="zh-CN"/>
        </w:rPr>
        <w:t>地方</w:t>
      </w:r>
      <w:r>
        <w:rPr>
          <w:rFonts w:hint="default" w:ascii="Times New Roman" w:hAnsi="Times New Roman" w:eastAsia="仿宋_GB2312" w:cs="Times New Roman"/>
          <w:sz w:val="32"/>
          <w:szCs w:val="32"/>
          <w:lang w:val="en-US" w:eastAsia="zh-CN"/>
        </w:rPr>
        <w:t>建设乡村公园等公共绿地。大力开展爱国卫生运动，拓展“美丽庭院”创建成效。积极持续深化农村地区通信基础设施建设和应急广播设施建设，有序推动5G等高质量网络逐步向农村地区拓展。</w:t>
      </w:r>
      <w:r>
        <w:rPr>
          <w:rFonts w:hint="default" w:ascii="Times New Roman" w:hAnsi="Times New Roman" w:eastAsia="楷体_GB2312" w:cs="Times New Roman"/>
          <w:b/>
          <w:bCs/>
          <w:sz w:val="32"/>
          <w:szCs w:val="32"/>
          <w:lang w:val="en-US" w:eastAsia="zh-CN"/>
        </w:rPr>
        <w:t>（自治区农业农村厅、发展改革委、住房和城乡建设厅、自然资源厅、生态环境厅、交通运输厅、水利厅、文化和旅游厅、卫生健康委、应急管理厅、林业和草原局、广播电视局、通信管理局、国网宁夏电力公司、体育局、妇联等按职责分工负责）</w:t>
      </w:r>
    </w:p>
    <w:p w14:paraId="289D24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18.塑造美丽乡村特色风貌。</w:t>
      </w:r>
      <w:r>
        <w:rPr>
          <w:rFonts w:hint="eastAsia" w:ascii="Times New Roman" w:hAnsi="Times New Roman" w:eastAsia="仿宋_GB2312" w:cs="Times New Roman"/>
          <w:sz w:val="32"/>
          <w:szCs w:val="32"/>
          <w:lang w:val="en-US" w:eastAsia="zh-CN"/>
        </w:rPr>
        <w:t>指导地方因地制宜开展乡村空间设计，</w:t>
      </w:r>
      <w:r>
        <w:rPr>
          <w:rFonts w:hint="default" w:ascii="Times New Roman" w:hAnsi="Times New Roman" w:eastAsia="仿宋_GB2312" w:cs="Times New Roman"/>
          <w:sz w:val="32"/>
          <w:szCs w:val="32"/>
          <w:lang w:val="en-US" w:eastAsia="zh-CN"/>
        </w:rPr>
        <w:t>加强乡村建筑和农房规划设计引导。持续实施农村危房改造和农房抗震改造政策，加强防止返贫致贫对象住房安全动态监测预警，确保新增危房“动态清零”。扎实做好因灾倒损住房恢复重建工作。集中连片提升农房抗震设防能力，有序推进农房抗震改造试点项目。加快推进高质量美丽宜居村庄和“塞上江南·和美乡村”样板村建设，引导农户充分利用乡土材料，渐进式开展村庄空间、村庄环境、农房风貌微改造精提升。</w:t>
      </w:r>
      <w:r>
        <w:rPr>
          <w:rFonts w:hint="default" w:ascii="Times New Roman" w:hAnsi="Times New Roman" w:eastAsia="楷体_GB2312" w:cs="Times New Roman"/>
          <w:b/>
          <w:bCs/>
          <w:sz w:val="32"/>
          <w:szCs w:val="32"/>
          <w:lang w:val="en-US" w:eastAsia="zh-CN"/>
        </w:rPr>
        <w:t>（自治区住房和城乡建设厅、自然资源厅、农业农村厅</w:t>
      </w:r>
      <w:r>
        <w:rPr>
          <w:rFonts w:hint="eastAsia" w:ascii="Times New Roman" w:hAnsi="Times New Roman" w:eastAsia="楷体_GB2312" w:cs="Times New Roman"/>
          <w:b/>
          <w:bCs/>
          <w:sz w:val="32"/>
          <w:szCs w:val="32"/>
          <w:lang w:val="en-US" w:eastAsia="zh-CN"/>
        </w:rPr>
        <w:t>、财政厅</w:t>
      </w:r>
      <w:r>
        <w:rPr>
          <w:rFonts w:hint="default" w:ascii="Times New Roman" w:hAnsi="Times New Roman" w:eastAsia="楷体_GB2312" w:cs="Times New Roman"/>
          <w:b/>
          <w:bCs/>
          <w:sz w:val="32"/>
          <w:szCs w:val="32"/>
          <w:lang w:val="en-US" w:eastAsia="zh-CN"/>
        </w:rPr>
        <w:t>等按职责分工负责）</w:t>
      </w:r>
    </w:p>
    <w:p w14:paraId="3181AF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19.加强传统村落传承保护。</w:t>
      </w:r>
      <w:r>
        <w:rPr>
          <w:rFonts w:hint="default" w:ascii="Times New Roman" w:hAnsi="Times New Roman" w:eastAsia="仿宋_GB2312" w:cs="Times New Roman"/>
          <w:sz w:val="32"/>
          <w:szCs w:val="32"/>
          <w:lang w:val="en-US" w:eastAsia="zh-CN"/>
        </w:rPr>
        <w:t>健全传统村落名录动态管理机制，扎实推进传统村落集中连片保护利用，加强历史文化名镇名村保护工作，支持建设10个传统村落保护发展项目，加快推进传统村落数字博物馆建设。因地制宜发展乡村民宿、文化体验等业态，强化非物质文化遗产保护传承，推动非遗与旅游康养、传统农耕、民俗文化深度融合，实现非遗创造性转化、创新性发展。</w:t>
      </w:r>
      <w:r>
        <w:rPr>
          <w:rFonts w:hint="default" w:ascii="Times New Roman" w:hAnsi="Times New Roman" w:eastAsia="楷体_GB2312" w:cs="Times New Roman"/>
          <w:b/>
          <w:bCs/>
          <w:sz w:val="32"/>
          <w:szCs w:val="32"/>
          <w:lang w:val="en-US" w:eastAsia="zh-CN"/>
        </w:rPr>
        <w:t>（自治区住房和城乡建设厅、文化和旅游厅等按职责分工负责）</w:t>
      </w:r>
    </w:p>
    <w:p w14:paraId="2DBC85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六、突出</w:t>
      </w:r>
      <w:r>
        <w:rPr>
          <w:rFonts w:hint="eastAsia" w:ascii="Times New Roman" w:hAnsi="Times New Roman" w:eastAsia="黑体" w:cs="Times New Roman"/>
          <w:sz w:val="32"/>
          <w:szCs w:val="32"/>
          <w:lang w:val="en-US" w:eastAsia="zh-CN"/>
        </w:rPr>
        <w:t>农民主体</w:t>
      </w:r>
      <w:r>
        <w:rPr>
          <w:rFonts w:hint="default" w:ascii="Times New Roman" w:hAnsi="Times New Roman" w:eastAsia="黑体" w:cs="Times New Roman"/>
          <w:sz w:val="32"/>
          <w:szCs w:val="32"/>
          <w:lang w:val="en-US" w:eastAsia="zh-CN"/>
        </w:rPr>
        <w:t>，健全完善管护运行</w:t>
      </w:r>
      <w:r>
        <w:rPr>
          <w:rFonts w:hint="eastAsia" w:ascii="Times New Roman" w:hAnsi="Times New Roman" w:eastAsia="黑体" w:cs="Times New Roman"/>
          <w:sz w:val="32"/>
          <w:szCs w:val="32"/>
          <w:lang w:val="en-US" w:eastAsia="zh-CN"/>
        </w:rPr>
        <w:t>长效</w:t>
      </w:r>
      <w:r>
        <w:rPr>
          <w:rFonts w:hint="default" w:ascii="Times New Roman" w:hAnsi="Times New Roman" w:eastAsia="黑体" w:cs="Times New Roman"/>
          <w:sz w:val="32"/>
          <w:szCs w:val="32"/>
          <w:lang w:val="en-US" w:eastAsia="zh-CN"/>
        </w:rPr>
        <w:t>机制</w:t>
      </w:r>
    </w:p>
    <w:p w14:paraId="25A41B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20. 建立健全农村人居环境基础设施长效管护机制。</w:t>
      </w:r>
      <w:r>
        <w:rPr>
          <w:rFonts w:hint="default" w:ascii="Times New Roman" w:hAnsi="Times New Roman" w:eastAsia="仿宋_GB2312" w:cs="Times New Roman"/>
          <w:sz w:val="32"/>
          <w:szCs w:val="32"/>
          <w:lang w:val="en-US" w:eastAsia="zh-CN"/>
        </w:rPr>
        <w:t>坚持“建管并重、长效运行”，围绕“五有”目标，完善“村级巡查、专业运维”模式，明确村级组织日常巡查责任，引入合作社、社会化服务主体参与清掏维修。推广“县域统筹、市场运营”模式，通过政府购买服务推动厕所、污水垃圾处理设施及村庄保洁一体化管护，将管护成效纳入乡村振兴实绩考核，定期开展专项督查与社会评价。建立“政府补助、集体分担、农户自筹”经费保障机制，强化“谁受益、谁付费”意识，统筹整合涉农资金优先保障管护支出。完善“政府+社会”多元投入机制，鼓励通过PPP、特许经营等模式吸引社会资本参与，形成可持续投入格局。</w:t>
      </w:r>
      <w:r>
        <w:rPr>
          <w:rFonts w:hint="default" w:ascii="Times New Roman" w:hAnsi="Times New Roman" w:eastAsia="楷体_GB2312" w:cs="Times New Roman"/>
          <w:b/>
          <w:bCs/>
          <w:sz w:val="32"/>
          <w:szCs w:val="32"/>
          <w:lang w:val="en-US" w:eastAsia="zh-CN"/>
        </w:rPr>
        <w:t>（自治区发展改革委、财政厅、农业农村厅、住房和城乡建设厅、生态环境厅、市场监管厅等按职责分工负责）</w:t>
      </w:r>
    </w:p>
    <w:p w14:paraId="0720CB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21.激发农民群众主体参与活力。</w:t>
      </w:r>
      <w:r>
        <w:rPr>
          <w:rFonts w:hint="default" w:ascii="Times New Roman" w:hAnsi="Times New Roman" w:eastAsia="仿宋_GB2312" w:cs="Times New Roman"/>
          <w:sz w:val="32"/>
          <w:szCs w:val="32"/>
          <w:lang w:val="en-US" w:eastAsia="zh-CN"/>
        </w:rPr>
        <w:t>加强农村党员日常教育，引导党员在人居环境整治中发挥先锋模范作用。将环境整治纳入村规民约，开展“红黑榜”评比、积分兑换、志愿服务等活动，增强村民主动维护意识。完善“一事一议”民主决策机制，引导村集体经济组织、合作社和村民参与规划建设、运营管护全过程。对投资小、门槛低的人居环境项目，积极推广以工代赈，组织当地劳动力尤其是脱贫人口、低收入群体参与建设，实现就地就业增收与乡村环境改善互促共进。持续推进“美丽宁夏·青春行动”，动员青少年参与巡河护河等绿色发展实践，为乡村环境长效管护注入青春力量。</w:t>
      </w:r>
      <w:r>
        <w:rPr>
          <w:rFonts w:hint="default" w:ascii="Times New Roman" w:hAnsi="Times New Roman" w:eastAsia="楷体_GB2312" w:cs="Times New Roman"/>
          <w:b/>
          <w:bCs/>
          <w:sz w:val="32"/>
          <w:szCs w:val="32"/>
          <w:lang w:val="en-US" w:eastAsia="zh-CN"/>
        </w:rPr>
        <w:t>（自治区党委组织部、社会工作部、文明办、发展改革委、农业农村厅、水利厅、团委等按职责分工负责）</w:t>
      </w:r>
    </w:p>
    <w:p w14:paraId="0A9125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七、突出政策支撑，完善要素保障体系</w:t>
      </w:r>
    </w:p>
    <w:p w14:paraId="5FB90C6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22.强化财政投入保障。</w:t>
      </w:r>
      <w:r>
        <w:rPr>
          <w:rFonts w:hint="default" w:ascii="Times New Roman" w:hAnsi="Times New Roman" w:eastAsia="仿宋_GB2312" w:cs="Times New Roman"/>
          <w:sz w:val="32"/>
          <w:szCs w:val="32"/>
          <w:lang w:val="en-US" w:eastAsia="zh-CN"/>
        </w:rPr>
        <w:t>健全涉农资金统筹整合长效机制，优化支出结构，优先保障农村人居环境整治提升重点任务。充分发挥财政资金引导与撬动作用，综合运用以奖代补、先建后补、贷款贴息等支持方式，吸引金融资本和社会资本加大投入力度，鼓励有条件的地方设立农村人居环境整治专项基金。强化资金全过程绩效管理，提升使用效益与配置效率，建立健全常态化监管机制，严禁挤占挪用、虚报冒领，确保资金规范安全运行。加快形成财政优先保障、金融重点倾斜、社会积极参与的多元投入格局。</w:t>
      </w:r>
    </w:p>
    <w:p w14:paraId="5EE672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23.加强人才队伍建设。</w:t>
      </w:r>
      <w:r>
        <w:rPr>
          <w:rFonts w:hint="default" w:ascii="Times New Roman" w:hAnsi="Times New Roman" w:eastAsia="仿宋_GB2312" w:cs="Times New Roman"/>
          <w:sz w:val="32"/>
          <w:szCs w:val="32"/>
          <w:lang w:val="en-US" w:eastAsia="zh-CN"/>
        </w:rPr>
        <w:t>鼓励高等院校、职业院校组建乡村建设志愿服务团队，深入基层开展技术指导与培训，着力培养一批留得住、用得上的本土化专业人才。深入实施乡村建设工匠培训计划，系统提升基层管护人员业务技能与管理水平。支持规划师、建筑师、工程师等专业技术人员下乡提供技术咨询与驻点服务，推动专业力量下沉一线。探索建立乡村建设人才激励与评价机制，拓宽人才引进与成长通道，为农村人居环境整治提升提供坚实智力支撑。</w:t>
      </w:r>
    </w:p>
    <w:p w14:paraId="06CE67D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24.完善配套支持政策。</w:t>
      </w:r>
      <w:r>
        <w:rPr>
          <w:rFonts w:hint="default" w:ascii="Times New Roman" w:hAnsi="Times New Roman" w:eastAsia="仿宋_GB2312" w:cs="Times New Roman"/>
          <w:sz w:val="32"/>
          <w:szCs w:val="32"/>
          <w:lang w:val="en-US" w:eastAsia="zh-CN"/>
        </w:rPr>
        <w:t>严格落实设施农业用地、村庄整治用地等政策要求，科学合理安排农村人居环境整治提升设施用地布局，切实保障垃圾处理、污水处理、厕所改造等基础设施的合理用地需求。</w:t>
      </w:r>
      <w:r>
        <w:rPr>
          <w:rFonts w:hint="eastAsia" w:ascii="Times New Roman" w:hAnsi="Times New Roman" w:eastAsia="仿宋_GB2312" w:cs="Times New Roman"/>
          <w:sz w:val="32"/>
          <w:szCs w:val="32"/>
          <w:lang w:val="en-US" w:eastAsia="zh-CN"/>
        </w:rPr>
        <w:t>持续加强</w:t>
      </w:r>
      <w:r>
        <w:rPr>
          <w:rFonts w:hint="default" w:ascii="Times New Roman" w:hAnsi="Times New Roman" w:eastAsia="仿宋_GB2312" w:cs="Times New Roman"/>
          <w:sz w:val="32"/>
          <w:szCs w:val="32"/>
          <w:lang w:val="en-US" w:eastAsia="zh-CN"/>
        </w:rPr>
        <w:t>中央预算内投资和美乡村建设专项监管和调度，提升项目建设效率。加强乡村建设项目储备工作，做好农村人居环境等乡村建设项目谋划储备、布局统筹和入库管理。</w:t>
      </w:r>
      <w:r>
        <w:rPr>
          <w:rFonts w:hint="eastAsia" w:ascii="Times New Roman" w:hAnsi="Times New Roman" w:eastAsia="仿宋_GB2312" w:cs="Times New Roman"/>
          <w:sz w:val="32"/>
          <w:szCs w:val="32"/>
          <w:lang w:val="en-US" w:eastAsia="zh-CN"/>
        </w:rPr>
        <w:t>推动改厕节水及粪污处理等农村人居环境领域关键技术科技研发、集成示范和推广应用。</w:t>
      </w:r>
      <w:r>
        <w:rPr>
          <w:rFonts w:hint="default" w:ascii="Times New Roman" w:hAnsi="Times New Roman" w:eastAsia="仿宋_GB2312" w:cs="Times New Roman"/>
          <w:sz w:val="32"/>
          <w:szCs w:val="32"/>
          <w:lang w:val="en-US" w:eastAsia="zh-CN"/>
        </w:rPr>
        <w:t>健全农村人居环境标准体系，加快相关领域标准制修订工作。探索建立农村人居环境基础设施长效管护机制，明确管护主体、管护责任与经费保障，确保各类设施长期稳定运行。</w:t>
      </w:r>
    </w:p>
    <w:p w14:paraId="2A631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九、强化组织保障，推动各项任务落地见效</w:t>
      </w:r>
    </w:p>
    <w:p w14:paraId="42BE6A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各级各部门要继续将改善农村人居环境重点任务作为推进乡村振兴战略实绩考核的重要内容，压紧压实责任。自治区农业农村厅发挥牵头抓总作用，强化统筹协调、督导检查和绩效考核；</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部门立足职能、密切配合，形成条块结合、合力攻坚的工作格局。市、县（区）党委和政府承担主体责任，结合实际细化任务举措，确保各项重点任务落地见效。</w:t>
      </w:r>
    </w:p>
    <w:p w14:paraId="080F5D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要注重典型引路与机制创新相结合，及时总结基层好经验好做法，通过座谈交流、现场观摩、业务培训等促进互学互鉴。加大宣传引导力度，运用群众喜闻乐见的方式解读政策、展示成效，激发村民主体意识和参与热情，营造共建共治共享的良好氛围，为加快建设宜居宜业和美乡村提供坚实支撑。</w:t>
      </w:r>
    </w:p>
    <w:p w14:paraId="53104807">
      <w:pPr>
        <w:keepNext w:val="0"/>
        <w:keepLines w:val="0"/>
        <w:pageBreakBefore w:val="0"/>
        <w:widowControl w:val="0"/>
        <w:tabs>
          <w:tab w:val="left" w:pos="7496"/>
        </w:tabs>
        <w:kinsoku/>
        <w:wordWrap/>
        <w:overflowPunct/>
        <w:topLinePunct w:val="0"/>
        <w:autoSpaceDE/>
        <w:autoSpaceDN/>
        <w:bidi w:val="0"/>
        <w:adjustRightInd/>
        <w:snapToGrid/>
        <w:spacing w:line="600" w:lineRule="exact"/>
        <w:ind w:left="0" w:firstLine="4486" w:firstLineChars="1402"/>
        <w:textAlignment w:val="auto"/>
        <w:rPr>
          <w:rFonts w:hint="eastAsia" w:ascii="Times New Roman" w:hAnsi="Times New Roman" w:eastAsia="仿宋_GB2312" w:cs="Times New Roman"/>
          <w:sz w:val="32"/>
          <w:szCs w:val="32"/>
          <w:lang w:val="en-US" w:eastAsia="zh-CN"/>
        </w:rPr>
      </w:pPr>
    </w:p>
    <w:p w14:paraId="75F35F74">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6D835E5A">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08D26ACC">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1BE652F3">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1788CBF2">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7AD53F61">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45C26A94">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7B7BB55C">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3B3CE0C4">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4420A1F4">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62F9A3CC">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185EE141">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5A193B0C">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2D44FBCB">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360D5FFD">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3153F322">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0510A338">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58488318">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spacing w:val="26"/>
          <w:kern w:val="0"/>
          <w:sz w:val="31"/>
          <w:szCs w:val="31"/>
          <w:lang w:eastAsia="zh-CN"/>
        </w:rPr>
      </w:pPr>
    </w:p>
    <w:p w14:paraId="61147A0D">
      <w:pPr>
        <w:keepNext w:val="0"/>
        <w:keepLines w:val="0"/>
        <w:pageBreakBefore w:val="0"/>
        <w:widowControl/>
        <w:kinsoku w:val="0"/>
        <w:wordWrap/>
        <w:overflowPunct/>
        <w:topLinePunct w:val="0"/>
        <w:autoSpaceDE w:val="0"/>
        <w:autoSpaceDN w:val="0"/>
        <w:bidi w:val="0"/>
        <w:adjustRightInd w:val="0"/>
        <w:snapToGrid w:val="0"/>
        <w:spacing w:line="235" w:lineRule="auto"/>
        <w:ind w:left="0"/>
        <w:jc w:val="left"/>
        <w:textAlignment w:val="baseline"/>
        <w:rPr>
          <w:rFonts w:hint="eastAsia" w:ascii="黑体" w:hAnsi="黑体" w:eastAsia="黑体" w:cs="黑体"/>
          <w:snapToGrid w:val="0"/>
          <w:color w:val="000000"/>
          <w:kern w:val="0"/>
          <w:sz w:val="31"/>
          <w:szCs w:val="31"/>
          <w:lang w:eastAsia="en-US"/>
        </w:rPr>
      </w:pPr>
      <w:r>
        <w:rPr>
          <w:rFonts w:hint="eastAsia" w:ascii="黑体" w:hAnsi="黑体" w:eastAsia="黑体" w:cs="黑体"/>
          <w:snapToGrid w:val="0"/>
          <w:color w:val="000000"/>
          <w:spacing w:val="26"/>
          <w:kern w:val="0"/>
          <w:sz w:val="31"/>
          <w:szCs w:val="31"/>
          <w:lang w:eastAsia="zh-CN"/>
        </w:rPr>
        <w:t>附</w:t>
      </w:r>
      <w:r>
        <w:rPr>
          <w:rFonts w:hint="eastAsia" w:ascii="黑体" w:hAnsi="黑体" w:eastAsia="黑体" w:cs="黑体"/>
          <w:snapToGrid w:val="0"/>
          <w:color w:val="000000"/>
          <w:spacing w:val="26"/>
          <w:kern w:val="0"/>
          <w:sz w:val="31"/>
          <w:szCs w:val="31"/>
          <w:lang w:eastAsia="en-US"/>
        </w:rPr>
        <w:t>件2</w:t>
      </w:r>
    </w:p>
    <w:p w14:paraId="4DB1DEEF">
      <w:pPr>
        <w:keepNext w:val="0"/>
        <w:keepLines w:val="0"/>
        <w:pageBreakBefore w:val="0"/>
        <w:widowControl/>
        <w:kinsoku w:val="0"/>
        <w:wordWrap/>
        <w:overflowPunct/>
        <w:topLinePunct w:val="0"/>
        <w:autoSpaceDE w:val="0"/>
        <w:autoSpaceDN w:val="0"/>
        <w:bidi w:val="0"/>
        <w:adjustRightInd w:val="0"/>
        <w:snapToGrid w:val="0"/>
        <w:spacing w:line="378" w:lineRule="auto"/>
        <w:ind w:left="0"/>
        <w:jc w:val="left"/>
        <w:textAlignment w:val="baseline"/>
        <w:rPr>
          <w:rFonts w:ascii="Arial" w:hAnsi="Arial" w:eastAsia="Arial" w:cs="Arial"/>
          <w:snapToGrid w:val="0"/>
          <w:color w:val="000000"/>
          <w:kern w:val="0"/>
          <w:sz w:val="21"/>
          <w:szCs w:val="21"/>
          <w:lang w:eastAsia="en-US"/>
        </w:rPr>
      </w:pPr>
    </w:p>
    <w:p w14:paraId="7745B0CE">
      <w:pPr>
        <w:keepNext w:val="0"/>
        <w:keepLines w:val="0"/>
        <w:pageBreakBefore w:val="0"/>
        <w:widowControl/>
        <w:kinsoku w:val="0"/>
        <w:wordWrap/>
        <w:overflowPunct/>
        <w:topLinePunct w:val="0"/>
        <w:autoSpaceDE w:val="0"/>
        <w:autoSpaceDN w:val="0"/>
        <w:bidi w:val="0"/>
        <w:adjustRightInd w:val="0"/>
        <w:snapToGrid w:val="0"/>
        <w:spacing w:line="208" w:lineRule="auto"/>
        <w:ind w:left="0"/>
        <w:jc w:val="center"/>
        <w:textAlignment w:val="baseline"/>
        <w:outlineLvl w:val="0"/>
        <w:rPr>
          <w:rFonts w:ascii="方正小标宋简体" w:hAnsi="方正小标宋简体" w:eastAsia="方正小标宋简体" w:cs="方正小标宋简体"/>
          <w:snapToGrid w:val="0"/>
          <w:color w:val="000000"/>
          <w:kern w:val="0"/>
          <w:sz w:val="43"/>
          <w:szCs w:val="43"/>
          <w:lang w:eastAsia="en-US"/>
        </w:rPr>
      </w:pPr>
      <w:r>
        <w:rPr>
          <w:rFonts w:ascii="方正小标宋简体" w:hAnsi="方正小标宋简体" w:eastAsia="方正小标宋简体" w:cs="方正小标宋简体"/>
          <w:snapToGrid w:val="0"/>
          <w:color w:val="000000"/>
          <w:spacing w:val="-10"/>
          <w:kern w:val="0"/>
          <w:sz w:val="43"/>
          <w:szCs w:val="43"/>
          <w:lang w:eastAsia="en-US"/>
        </w:rPr>
        <w:t>意见建议反馈表</w:t>
      </w:r>
    </w:p>
    <w:p w14:paraId="1EE0372D">
      <w:pPr>
        <w:keepNext w:val="0"/>
        <w:keepLines w:val="0"/>
        <w:pageBreakBefore w:val="0"/>
        <w:widowControl/>
        <w:kinsoku w:val="0"/>
        <w:wordWrap/>
        <w:overflowPunct/>
        <w:topLinePunct w:val="0"/>
        <w:autoSpaceDE w:val="0"/>
        <w:autoSpaceDN w:val="0"/>
        <w:bidi w:val="0"/>
        <w:adjustRightInd w:val="0"/>
        <w:snapToGrid w:val="0"/>
        <w:spacing w:line="264" w:lineRule="auto"/>
        <w:ind w:left="0"/>
        <w:jc w:val="left"/>
        <w:textAlignment w:val="baseline"/>
        <w:rPr>
          <w:rFonts w:ascii="Arial" w:hAnsi="Arial" w:eastAsia="Arial" w:cs="Arial"/>
          <w:snapToGrid w:val="0"/>
          <w:color w:val="000000"/>
          <w:kern w:val="0"/>
          <w:sz w:val="21"/>
          <w:szCs w:val="21"/>
          <w:lang w:eastAsia="en-US"/>
        </w:rPr>
      </w:pPr>
    </w:p>
    <w:p w14:paraId="316FF7AB">
      <w:pPr>
        <w:keepNext w:val="0"/>
        <w:keepLines w:val="0"/>
        <w:pageBreakBefore w:val="0"/>
        <w:widowControl/>
        <w:kinsoku w:val="0"/>
        <w:wordWrap/>
        <w:overflowPunct/>
        <w:topLinePunct w:val="0"/>
        <w:autoSpaceDE w:val="0"/>
        <w:autoSpaceDN w:val="0"/>
        <w:bidi w:val="0"/>
        <w:adjustRightInd w:val="0"/>
        <w:snapToGrid w:val="0"/>
        <w:spacing w:line="264" w:lineRule="auto"/>
        <w:ind w:left="0"/>
        <w:jc w:val="left"/>
        <w:textAlignment w:val="baseline"/>
        <w:rPr>
          <w:rFonts w:ascii="Arial" w:hAnsi="Arial" w:eastAsia="Arial" w:cs="Arial"/>
          <w:snapToGrid w:val="0"/>
          <w:color w:val="000000"/>
          <w:kern w:val="0"/>
          <w:sz w:val="21"/>
          <w:szCs w:val="21"/>
          <w:lang w:eastAsia="en-US"/>
        </w:rPr>
      </w:pPr>
    </w:p>
    <w:p w14:paraId="61736B41">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hint="eastAsia" w:ascii="仿宋_GB2312" w:hAnsi="仿宋_GB2312" w:eastAsia="仿宋_GB2312" w:cs="仿宋_GB2312"/>
          <w:snapToGrid w:val="0"/>
          <w:color w:val="000000"/>
          <w:kern w:val="0"/>
          <w:sz w:val="32"/>
          <w:szCs w:val="32"/>
          <w:lang w:eastAsia="en-US"/>
        </w:rPr>
      </w:pPr>
    </w:p>
    <w:p w14:paraId="2FF70B73">
      <w:pPr>
        <w:keepNext w:val="0"/>
        <w:keepLines w:val="0"/>
        <w:pageBreakBefore w:val="0"/>
        <w:widowControl/>
        <w:kinsoku w:val="0"/>
        <w:wordWrap/>
        <w:overflowPunct/>
        <w:topLinePunct w:val="0"/>
        <w:autoSpaceDE w:val="0"/>
        <w:autoSpaceDN w:val="0"/>
        <w:bidi w:val="0"/>
        <w:adjustRightInd w:val="0"/>
        <w:snapToGrid w:val="0"/>
        <w:spacing w:before="0" w:line="600" w:lineRule="exact"/>
        <w:ind w:left="0"/>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b/>
          <w:bCs/>
          <w:snapToGrid w:val="0"/>
          <w:color w:val="000000"/>
          <w:spacing w:val="-4"/>
          <w:kern w:val="0"/>
          <w:sz w:val="32"/>
          <w:szCs w:val="32"/>
          <w:lang w:val="en-US" w:eastAsia="en-US" w:bidi="ar-SA"/>
        </w:rPr>
        <w:t>提出单位（公章</w:t>
      </w:r>
      <w:r>
        <w:rPr>
          <w:rFonts w:hint="eastAsia" w:ascii="仿宋_GB2312" w:hAnsi="仿宋_GB2312" w:eastAsia="仿宋_GB2312" w:cs="仿宋_GB2312"/>
          <w:b/>
          <w:bCs/>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u w:val="single" w:color="auto"/>
          <w:lang w:val="en-US" w:eastAsia="en-US" w:bidi="ar-SA"/>
        </w:rPr>
        <w:t xml:space="preserve">                              </w:t>
      </w:r>
    </w:p>
    <w:p w14:paraId="77BC2D29">
      <w:pPr>
        <w:keepNext w:val="0"/>
        <w:keepLines w:val="0"/>
        <w:pageBreakBefore w:val="0"/>
        <w:widowControl/>
        <w:kinsoku w:val="0"/>
        <w:wordWrap/>
        <w:overflowPunct/>
        <w:topLinePunct w:val="0"/>
        <w:autoSpaceDE w:val="0"/>
        <w:autoSpaceDN w:val="0"/>
        <w:bidi w:val="0"/>
        <w:adjustRightInd w:val="0"/>
        <w:snapToGrid w:val="0"/>
        <w:spacing w:before="0" w:line="600" w:lineRule="exact"/>
        <w:ind w:left="0"/>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b/>
          <w:bCs/>
          <w:snapToGrid w:val="0"/>
          <w:color w:val="000000"/>
          <w:spacing w:val="-7"/>
          <w:kern w:val="0"/>
          <w:sz w:val="32"/>
          <w:szCs w:val="32"/>
          <w:lang w:val="en-US" w:eastAsia="en-US" w:bidi="ar-SA"/>
        </w:rPr>
        <w:t>联</w:t>
      </w:r>
      <w:r>
        <w:rPr>
          <w:rFonts w:hint="eastAsia" w:ascii="仿宋_GB2312" w:hAnsi="仿宋_GB2312" w:eastAsia="仿宋_GB2312" w:cs="仿宋_GB2312"/>
          <w:snapToGrid w:val="0"/>
          <w:color w:val="000000"/>
          <w:spacing w:val="32"/>
          <w:kern w:val="0"/>
          <w:sz w:val="32"/>
          <w:szCs w:val="32"/>
          <w:lang w:val="en-US" w:eastAsia="en-US" w:bidi="ar-SA"/>
        </w:rPr>
        <w:t xml:space="preserve"> </w:t>
      </w:r>
      <w:r>
        <w:rPr>
          <w:rFonts w:hint="eastAsia" w:ascii="仿宋_GB2312" w:hAnsi="仿宋_GB2312" w:eastAsia="仿宋_GB2312" w:cs="仿宋_GB2312"/>
          <w:b/>
          <w:bCs/>
          <w:snapToGrid w:val="0"/>
          <w:color w:val="000000"/>
          <w:spacing w:val="-7"/>
          <w:kern w:val="0"/>
          <w:sz w:val="32"/>
          <w:szCs w:val="32"/>
          <w:lang w:val="en-US" w:eastAsia="en-US" w:bidi="ar-SA"/>
        </w:rPr>
        <w:t>系</w:t>
      </w:r>
      <w:r>
        <w:rPr>
          <w:rFonts w:hint="eastAsia" w:ascii="仿宋_GB2312" w:hAnsi="仿宋_GB2312" w:eastAsia="仿宋_GB2312" w:cs="仿宋_GB2312"/>
          <w:snapToGrid w:val="0"/>
          <w:color w:val="000000"/>
          <w:spacing w:val="-7"/>
          <w:kern w:val="0"/>
          <w:sz w:val="32"/>
          <w:szCs w:val="32"/>
          <w:lang w:val="en-US" w:eastAsia="en-US" w:bidi="ar-SA"/>
        </w:rPr>
        <w:t xml:space="preserve"> </w:t>
      </w:r>
      <w:r>
        <w:rPr>
          <w:rFonts w:hint="eastAsia" w:ascii="仿宋_GB2312" w:hAnsi="仿宋_GB2312" w:eastAsia="仿宋_GB2312" w:cs="仿宋_GB2312"/>
          <w:b/>
          <w:bCs/>
          <w:snapToGrid w:val="0"/>
          <w:color w:val="000000"/>
          <w:spacing w:val="-7"/>
          <w:kern w:val="0"/>
          <w:sz w:val="32"/>
          <w:szCs w:val="32"/>
          <w:lang w:val="en-US" w:eastAsia="en-US" w:bidi="ar-SA"/>
        </w:rPr>
        <w:t>人：</w:t>
      </w:r>
      <w:r>
        <w:rPr>
          <w:rFonts w:hint="eastAsia" w:ascii="仿宋_GB2312" w:hAnsi="仿宋_GB2312" w:eastAsia="仿宋_GB2312" w:cs="仿宋_GB2312"/>
          <w:snapToGrid w:val="0"/>
          <w:color w:val="000000"/>
          <w:kern w:val="0"/>
          <w:sz w:val="32"/>
          <w:szCs w:val="32"/>
          <w:u w:val="single" w:color="auto"/>
          <w:lang w:val="en-US" w:eastAsia="en-US" w:bidi="ar-SA"/>
        </w:rPr>
        <w:t xml:space="preserve">              </w:t>
      </w:r>
      <w:r>
        <w:rPr>
          <w:rFonts w:hint="eastAsia" w:ascii="仿宋_GB2312" w:hAnsi="仿宋_GB2312" w:eastAsia="仿宋_GB2312" w:cs="仿宋_GB2312"/>
          <w:snapToGrid w:val="0"/>
          <w:color w:val="000000"/>
          <w:spacing w:val="4"/>
          <w:kern w:val="0"/>
          <w:sz w:val="32"/>
          <w:szCs w:val="32"/>
          <w:lang w:val="en-US" w:eastAsia="en-US" w:bidi="ar-SA"/>
        </w:rPr>
        <w:t xml:space="preserve">   </w:t>
      </w:r>
      <w:r>
        <w:rPr>
          <w:rFonts w:hint="eastAsia" w:ascii="仿宋_GB2312" w:hAnsi="仿宋_GB2312" w:eastAsia="仿宋_GB2312" w:cs="仿宋_GB2312"/>
          <w:b/>
          <w:bCs/>
          <w:snapToGrid w:val="0"/>
          <w:color w:val="000000"/>
          <w:spacing w:val="-7"/>
          <w:kern w:val="0"/>
          <w:sz w:val="32"/>
          <w:szCs w:val="32"/>
          <w:lang w:val="en-US" w:eastAsia="en-US" w:bidi="ar-SA"/>
        </w:rPr>
        <w:t>联系电话：</w:t>
      </w:r>
      <w:r>
        <w:rPr>
          <w:rFonts w:hint="eastAsia" w:ascii="仿宋_GB2312" w:hAnsi="仿宋_GB2312" w:eastAsia="仿宋_GB2312" w:cs="仿宋_GB2312"/>
          <w:snapToGrid w:val="0"/>
          <w:color w:val="000000"/>
          <w:kern w:val="0"/>
          <w:sz w:val="32"/>
          <w:szCs w:val="32"/>
          <w:u w:val="single" w:color="auto"/>
          <w:lang w:val="en-US" w:eastAsia="en-US" w:bidi="ar-SA"/>
        </w:rPr>
        <w:t xml:space="preserve">                  </w:t>
      </w:r>
    </w:p>
    <w:p w14:paraId="735BC9F7">
      <w:pPr>
        <w:keepNext w:val="0"/>
        <w:keepLines w:val="0"/>
        <w:pageBreakBefore w:val="0"/>
        <w:widowControl/>
        <w:kinsoku w:val="0"/>
        <w:wordWrap/>
        <w:overflowPunct/>
        <w:topLinePunct w:val="0"/>
        <w:autoSpaceDE w:val="0"/>
        <w:autoSpaceDN w:val="0"/>
        <w:bidi w:val="0"/>
        <w:adjustRightInd w:val="0"/>
        <w:snapToGrid w:val="0"/>
        <w:spacing w:before="0" w:line="600" w:lineRule="exact"/>
        <w:ind w:left="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11"/>
          <w:kern w:val="0"/>
          <w:sz w:val="32"/>
          <w:szCs w:val="32"/>
          <w:lang w:val="en-US" w:eastAsia="en-US" w:bidi="ar-SA"/>
        </w:rPr>
        <w:t>传</w:t>
      </w:r>
      <w:r>
        <w:rPr>
          <w:rFonts w:hint="eastAsia" w:ascii="仿宋_GB2312" w:hAnsi="仿宋_GB2312" w:eastAsia="仿宋_GB2312" w:cs="仿宋_GB2312"/>
          <w:snapToGrid w:val="0"/>
          <w:color w:val="000000"/>
          <w:spacing w:val="6"/>
          <w:kern w:val="0"/>
          <w:sz w:val="32"/>
          <w:szCs w:val="32"/>
          <w:lang w:val="en-US" w:eastAsia="en-US" w:bidi="ar-SA"/>
        </w:rPr>
        <w:t xml:space="preserve">    </w:t>
      </w:r>
      <w:r>
        <w:rPr>
          <w:rFonts w:hint="eastAsia" w:ascii="仿宋_GB2312" w:hAnsi="仿宋_GB2312" w:eastAsia="仿宋_GB2312" w:cs="仿宋_GB2312"/>
          <w:b/>
          <w:bCs/>
          <w:snapToGrid w:val="0"/>
          <w:color w:val="000000"/>
          <w:spacing w:val="-11"/>
          <w:kern w:val="0"/>
          <w:sz w:val="32"/>
          <w:szCs w:val="32"/>
          <w:lang w:val="en-US" w:eastAsia="en-US" w:bidi="ar-SA"/>
        </w:rPr>
        <w:t>真：</w:t>
      </w:r>
      <w:r>
        <w:rPr>
          <w:rFonts w:hint="eastAsia" w:ascii="仿宋_GB2312" w:hAnsi="仿宋_GB2312" w:eastAsia="仿宋_GB2312" w:cs="仿宋_GB2312"/>
          <w:snapToGrid w:val="0"/>
          <w:color w:val="000000"/>
          <w:kern w:val="0"/>
          <w:sz w:val="32"/>
          <w:szCs w:val="32"/>
          <w:u w:val="single" w:color="auto"/>
          <w:lang w:val="en-US" w:eastAsia="en-US" w:bidi="ar-SA"/>
        </w:rPr>
        <w:t xml:space="preserve">              </w:t>
      </w:r>
      <w:r>
        <w:rPr>
          <w:rFonts w:hint="eastAsia" w:ascii="仿宋_GB2312" w:hAnsi="仿宋_GB2312" w:eastAsia="仿宋_GB2312" w:cs="仿宋_GB2312"/>
          <w:snapToGrid w:val="0"/>
          <w:color w:val="000000"/>
          <w:spacing w:val="10"/>
          <w:kern w:val="0"/>
          <w:sz w:val="32"/>
          <w:szCs w:val="32"/>
          <w:lang w:val="en-US" w:eastAsia="en-US" w:bidi="ar-SA"/>
        </w:rPr>
        <w:t xml:space="preserve">   </w:t>
      </w:r>
      <w:r>
        <w:rPr>
          <w:rFonts w:hint="eastAsia" w:ascii="仿宋_GB2312" w:hAnsi="仿宋_GB2312" w:eastAsia="仿宋_GB2312" w:cs="仿宋_GB2312"/>
          <w:b/>
          <w:bCs/>
          <w:snapToGrid w:val="0"/>
          <w:color w:val="000000"/>
          <w:spacing w:val="-11"/>
          <w:kern w:val="0"/>
          <w:sz w:val="32"/>
          <w:szCs w:val="32"/>
          <w:lang w:val="en-US" w:eastAsia="en-US" w:bidi="ar-SA"/>
        </w:rPr>
        <w:t>电子邮箱：</w:t>
      </w:r>
      <w:r>
        <w:rPr>
          <w:rFonts w:hint="eastAsia" w:ascii="仿宋_GB2312" w:hAnsi="仿宋_GB2312" w:eastAsia="仿宋_GB2312" w:cs="仿宋_GB2312"/>
          <w:snapToGrid w:val="0"/>
          <w:color w:val="000000"/>
          <w:kern w:val="0"/>
          <w:sz w:val="32"/>
          <w:szCs w:val="32"/>
          <w:u w:val="single" w:color="auto"/>
          <w:lang w:val="en-US" w:eastAsia="en-US" w:bidi="ar-SA"/>
        </w:rPr>
        <w:t xml:space="preserve">             </w:t>
      </w:r>
      <w:r>
        <w:rPr>
          <w:rFonts w:hint="eastAsia" w:ascii="仿宋_GB2312" w:hAnsi="仿宋_GB2312" w:eastAsia="仿宋_GB2312" w:cs="仿宋_GB2312"/>
          <w:snapToGrid w:val="0"/>
          <w:color w:val="000000"/>
          <w:kern w:val="0"/>
          <w:sz w:val="32"/>
          <w:szCs w:val="32"/>
          <w:u w:val="single" w:color="auto"/>
          <w:lang w:val="en-US" w:eastAsia="zh-CN" w:bidi="ar-SA"/>
        </w:rPr>
        <w:t xml:space="preserve"> </w:t>
      </w:r>
      <w:r>
        <w:rPr>
          <w:rFonts w:hint="eastAsia" w:ascii="仿宋_GB2312" w:hAnsi="仿宋_GB2312" w:eastAsia="仿宋_GB2312" w:cs="仿宋_GB2312"/>
          <w:snapToGrid w:val="0"/>
          <w:color w:val="000000"/>
          <w:kern w:val="0"/>
          <w:sz w:val="32"/>
          <w:szCs w:val="32"/>
          <w:u w:val="single" w:color="auto"/>
          <w:lang w:val="en-US" w:eastAsia="en-US" w:bidi="ar-SA"/>
        </w:rPr>
        <w:t xml:space="preserve">    </w:t>
      </w:r>
    </w:p>
    <w:p w14:paraId="5C166DF4">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ascii="Arial" w:hAnsi="Arial" w:eastAsia="Arial" w:cs="Arial"/>
          <w:snapToGrid w:val="0"/>
          <w:color w:val="000000"/>
          <w:kern w:val="0"/>
          <w:szCs w:val="21"/>
          <w:lang w:eastAsia="en-US"/>
        </w:rPr>
      </w:pPr>
    </w:p>
    <w:tbl>
      <w:tblPr>
        <w:tblStyle w:val="7"/>
        <w:tblW w:w="8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1772"/>
        <w:gridCol w:w="6019"/>
      </w:tblGrid>
      <w:tr w14:paraId="3A49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068" w:type="dxa"/>
            <w:tcBorders>
              <w:top w:val="single" w:color="000000" w:sz="2" w:space="0"/>
              <w:left w:val="single" w:color="000000" w:sz="2" w:space="0"/>
            </w:tcBorders>
            <w:vAlign w:val="top"/>
          </w:tcPr>
          <w:p w14:paraId="727AF7EE">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spacing w:val="-4"/>
                <w:kern w:val="0"/>
                <w:sz w:val="32"/>
                <w:szCs w:val="32"/>
                <w:lang w:eastAsia="en-US"/>
              </w:rPr>
              <w:t>序号</w:t>
            </w:r>
          </w:p>
        </w:tc>
        <w:tc>
          <w:tcPr>
            <w:tcW w:w="1772" w:type="dxa"/>
            <w:tcBorders>
              <w:top w:val="single" w:color="000000" w:sz="2" w:space="0"/>
            </w:tcBorders>
            <w:vAlign w:val="top"/>
          </w:tcPr>
          <w:p w14:paraId="76ABA82C">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spacing w:val="-4"/>
                <w:kern w:val="0"/>
                <w:sz w:val="32"/>
                <w:szCs w:val="32"/>
                <w:lang w:eastAsia="en-US"/>
              </w:rPr>
              <w:t>章条编号</w:t>
            </w:r>
          </w:p>
        </w:tc>
        <w:tc>
          <w:tcPr>
            <w:tcW w:w="6019" w:type="dxa"/>
            <w:tcBorders>
              <w:top w:val="single" w:color="000000" w:sz="2" w:space="0"/>
              <w:right w:val="single" w:color="000000" w:sz="2" w:space="0"/>
            </w:tcBorders>
            <w:vAlign w:val="top"/>
          </w:tcPr>
          <w:p w14:paraId="198C3E1F">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spacing w:val="-1"/>
                <w:kern w:val="0"/>
                <w:sz w:val="32"/>
                <w:szCs w:val="32"/>
                <w:lang w:eastAsia="en-US"/>
              </w:rPr>
              <w:t>修改意见内容（包括理由或依据）</w:t>
            </w:r>
          </w:p>
        </w:tc>
      </w:tr>
      <w:tr w14:paraId="22A0A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7" w:hRule="atLeast"/>
          <w:jc w:val="center"/>
        </w:trPr>
        <w:tc>
          <w:tcPr>
            <w:tcW w:w="1068" w:type="dxa"/>
            <w:tcBorders>
              <w:left w:val="single" w:color="000000" w:sz="2" w:space="0"/>
              <w:bottom w:val="single" w:color="000000" w:sz="2" w:space="0"/>
            </w:tcBorders>
            <w:vAlign w:val="top"/>
          </w:tcPr>
          <w:p w14:paraId="2D3010AF">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ascii="Arial" w:hAnsi="Arial" w:eastAsia="Arial" w:cs="Arial"/>
                <w:snapToGrid w:val="0"/>
                <w:color w:val="000000"/>
                <w:kern w:val="0"/>
                <w:sz w:val="21"/>
                <w:szCs w:val="21"/>
                <w:lang w:eastAsia="en-US"/>
              </w:rPr>
            </w:pPr>
          </w:p>
        </w:tc>
        <w:tc>
          <w:tcPr>
            <w:tcW w:w="1772" w:type="dxa"/>
            <w:tcBorders>
              <w:bottom w:val="single" w:color="000000" w:sz="2" w:space="0"/>
            </w:tcBorders>
            <w:vAlign w:val="top"/>
          </w:tcPr>
          <w:p w14:paraId="07231C5C">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ascii="Arial" w:hAnsi="Arial" w:eastAsia="Arial" w:cs="Arial"/>
                <w:snapToGrid w:val="0"/>
                <w:color w:val="000000"/>
                <w:kern w:val="0"/>
                <w:sz w:val="21"/>
                <w:szCs w:val="21"/>
                <w:lang w:eastAsia="en-US"/>
              </w:rPr>
            </w:pPr>
          </w:p>
        </w:tc>
        <w:tc>
          <w:tcPr>
            <w:tcW w:w="6019" w:type="dxa"/>
            <w:tcBorders>
              <w:bottom w:val="single" w:color="000000" w:sz="2" w:space="0"/>
              <w:right w:val="single" w:color="000000" w:sz="2" w:space="0"/>
            </w:tcBorders>
            <w:vAlign w:val="top"/>
          </w:tcPr>
          <w:p w14:paraId="7FCDCDAE">
            <w:pPr>
              <w:keepNext w:val="0"/>
              <w:keepLines w:val="0"/>
              <w:pageBreakBefore w:val="0"/>
              <w:widowControl/>
              <w:kinsoku w:val="0"/>
              <w:wordWrap/>
              <w:overflowPunct/>
              <w:topLinePunct w:val="0"/>
              <w:autoSpaceDE w:val="0"/>
              <w:autoSpaceDN w:val="0"/>
              <w:bidi w:val="0"/>
              <w:adjustRightInd w:val="0"/>
              <w:snapToGrid w:val="0"/>
              <w:spacing w:line="600" w:lineRule="exact"/>
              <w:ind w:left="0"/>
              <w:jc w:val="left"/>
              <w:textAlignment w:val="baseline"/>
              <w:rPr>
                <w:rFonts w:ascii="Arial" w:hAnsi="Arial" w:eastAsia="Arial" w:cs="Arial"/>
                <w:snapToGrid w:val="0"/>
                <w:color w:val="000000"/>
                <w:kern w:val="0"/>
                <w:sz w:val="21"/>
                <w:szCs w:val="21"/>
                <w:lang w:eastAsia="en-US"/>
              </w:rPr>
            </w:pPr>
          </w:p>
        </w:tc>
      </w:tr>
    </w:tbl>
    <w:p w14:paraId="14E28C79">
      <w:pPr>
        <w:keepNext w:val="0"/>
        <w:keepLines w:val="0"/>
        <w:pageBreakBefore w:val="0"/>
        <w:widowControl w:val="0"/>
        <w:tabs>
          <w:tab w:val="left" w:pos="7496"/>
        </w:tabs>
        <w:kinsoku/>
        <w:wordWrap/>
        <w:overflowPunct/>
        <w:topLinePunct w:val="0"/>
        <w:autoSpaceDE/>
        <w:autoSpaceDN/>
        <w:bidi w:val="0"/>
        <w:adjustRightInd/>
        <w:snapToGrid/>
        <w:spacing w:line="600" w:lineRule="exact"/>
        <w:ind w:left="0" w:firstLine="4486" w:firstLineChars="1402"/>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C7DF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0297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60297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535A6"/>
    <w:rsid w:val="163225B8"/>
    <w:rsid w:val="1D282061"/>
    <w:rsid w:val="230779B8"/>
    <w:rsid w:val="2A7121B2"/>
    <w:rsid w:val="2B424FC1"/>
    <w:rsid w:val="40C36B5A"/>
    <w:rsid w:val="426535A6"/>
    <w:rsid w:val="57552B9B"/>
    <w:rsid w:val="5A2B6046"/>
    <w:rsid w:val="5C6417F5"/>
    <w:rsid w:val="690E5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7046</Words>
  <Characters>7200</Characters>
  <Lines>0</Lines>
  <Paragraphs>0</Paragraphs>
  <TotalTime>2</TotalTime>
  <ScaleCrop>false</ScaleCrop>
  <LinksUpToDate>false</LinksUpToDate>
  <CharactersWithSpaces>7314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2026-04-13T02:54:00Z</dcterms:created>
  <dc:creator>牛旭东</dc:creator>
  <cp:lastModifiedBy>下个路口见</cp:lastModifiedBy>
  <cp:lastPrinted>2026-04-14T06:17:00Z</cp:lastPrinted>
  <dcterms:modified xsi:type="dcterms:W3CDTF">2026-04-15T02:48:38Z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E0B59A3D42C346DDA5CF97F7AC9DBB01_13</vt:lpwstr>
  </property>
  <property fmtid="{D5CDD505-2E9C-101B-9397-08002B2CF9AE}" pid="4" name="KSOTemplateDocerSaveRecord">
    <vt:lpwstr>eyJoZGlkIjoiZjVhYzRjNDVkZmIxOGZhODM1NTk0ZjFlZWRlNGI1M2YiLCJ1c2VySWQiOiIyNzQ3NDI2NDEifQ==</vt:lpwstr>
  </property>
</Properties>
</file>