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both"/>
      </w:pPr>
      <w:r>
        <mc:AlternateContent>
          <mc:Choice Requires="wps">
            <w:drawing>
              <wp:anchor distT="0" distB="0" distL="114300" distR="114300" simplePos="0" relativeHeight="251660288" behindDoc="0" locked="0" layoutInCell="1" allowOverlap="1">
                <wp:simplePos x="0" y="0"/>
                <wp:positionH relativeFrom="column">
                  <wp:posOffset>-204470</wp:posOffset>
                </wp:positionH>
                <wp:positionV relativeFrom="paragraph">
                  <wp:posOffset>222885</wp:posOffset>
                </wp:positionV>
                <wp:extent cx="5043805" cy="3408680"/>
                <wp:effectExtent l="0" t="0" r="4445" b="1270"/>
                <wp:wrapNone/>
                <wp:docPr id="3" name="文本框 2"/>
                <wp:cNvGraphicFramePr/>
                <a:graphic xmlns:a="http://schemas.openxmlformats.org/drawingml/2006/main">
                  <a:graphicData uri="http://schemas.microsoft.com/office/word/2010/wordprocessingShape">
                    <wps:wsp>
                      <wps:cNvSpPr txBox="1"/>
                      <wps:spPr>
                        <a:xfrm>
                          <a:off x="0" y="0"/>
                          <a:ext cx="4502785" cy="3408680"/>
                        </a:xfrm>
                        <a:prstGeom prst="rect">
                          <a:avLst/>
                        </a:prstGeom>
                        <a:solidFill>
                          <a:srgbClr val="FFFFFF"/>
                        </a:solidFill>
                        <a:ln w="9525">
                          <a:noFill/>
                        </a:ln>
                        <a:effectLst/>
                      </wps:spPr>
                      <wps:txbx>
                        <w:txbxContent>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distribute"/>
                              <w:textAlignment w:val="auto"/>
                              <w:outlineLvl w:val="9"/>
                              <w:rPr>
                                <w:rFonts w:hint="eastAsia" w:ascii="方正小标宋简体" w:hAnsi="华文中宋" w:eastAsia="方正小标宋简体"/>
                                <w:bCs/>
                                <w:color w:val="FF0000"/>
                                <w:spacing w:val="-46"/>
                                <w:w w:val="80"/>
                                <w:sz w:val="56"/>
                                <w:szCs w:val="56"/>
                              </w:rPr>
                            </w:pPr>
                            <w:r>
                              <w:rPr>
                                <w:rFonts w:hint="eastAsia" w:ascii="方正小标宋简体" w:hAnsi="华文中宋" w:eastAsia="方正小标宋简体"/>
                                <w:bCs/>
                                <w:color w:val="FF0000"/>
                                <w:spacing w:val="-46"/>
                                <w:w w:val="80"/>
                                <w:sz w:val="56"/>
                                <w:szCs w:val="72"/>
                              </w:rPr>
                              <w:t>宁夏回族自治区</w:t>
                            </w:r>
                            <w:r>
                              <w:rPr>
                                <w:rFonts w:hint="eastAsia" w:ascii="方正小标宋简体" w:hAnsi="华文中宋" w:eastAsia="方正小标宋简体"/>
                                <w:bCs/>
                                <w:color w:val="FF0000"/>
                                <w:spacing w:val="-46"/>
                                <w:w w:val="80"/>
                                <w:sz w:val="56"/>
                                <w:szCs w:val="72"/>
                                <w:lang w:eastAsia="zh-CN"/>
                              </w:rPr>
                              <w:t>农业农村厅</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distribute"/>
                              <w:textAlignment w:val="auto"/>
                              <w:outlineLvl w:val="9"/>
                              <w:rPr>
                                <w:rFonts w:hint="eastAsia" w:ascii="方正小标宋简体" w:hAnsi="华文中宋" w:eastAsia="方正小标宋简体"/>
                                <w:bCs/>
                                <w:color w:val="FF0000"/>
                                <w:spacing w:val="-46"/>
                                <w:w w:val="80"/>
                                <w:sz w:val="56"/>
                                <w:szCs w:val="72"/>
                                <w:lang w:eastAsia="zh-CN"/>
                              </w:rPr>
                            </w:pPr>
                            <w:r>
                              <w:rPr>
                                <w:rFonts w:hint="eastAsia" w:ascii="方正小标宋简体" w:hAnsi="华文中宋" w:eastAsia="方正小标宋简体"/>
                                <w:bCs/>
                                <w:color w:val="FF0000"/>
                                <w:spacing w:val="-46"/>
                                <w:w w:val="80"/>
                                <w:sz w:val="56"/>
                                <w:szCs w:val="72"/>
                              </w:rPr>
                              <w:t>宁夏回族自治区</w:t>
                            </w:r>
                            <w:r>
                              <w:rPr>
                                <w:rFonts w:hint="eastAsia" w:ascii="方正小标宋简体" w:hAnsi="华文中宋" w:eastAsia="方正小标宋简体"/>
                                <w:bCs/>
                                <w:color w:val="FF0000"/>
                                <w:spacing w:val="-46"/>
                                <w:w w:val="80"/>
                                <w:sz w:val="56"/>
                                <w:szCs w:val="72"/>
                                <w:lang w:eastAsia="zh-CN"/>
                              </w:rPr>
                              <w:t>发展和改革委员会</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distribute"/>
                              <w:textAlignment w:val="auto"/>
                              <w:outlineLvl w:val="9"/>
                              <w:rPr>
                                <w:rFonts w:hint="eastAsia" w:ascii="方正小标宋简体" w:hAnsi="华文中宋" w:eastAsia="方正小标宋简体"/>
                                <w:bCs/>
                                <w:color w:val="FF0000"/>
                                <w:spacing w:val="-46"/>
                                <w:w w:val="80"/>
                                <w:sz w:val="56"/>
                                <w:szCs w:val="72"/>
                                <w:lang w:val="en-US" w:eastAsia="zh-CN"/>
                              </w:rPr>
                            </w:pPr>
                            <w:r>
                              <w:rPr>
                                <w:rFonts w:hint="eastAsia" w:ascii="方正小标宋简体" w:hAnsi="华文中宋" w:eastAsia="方正小标宋简体"/>
                                <w:bCs/>
                                <w:color w:val="FF0000"/>
                                <w:spacing w:val="-46"/>
                                <w:w w:val="80"/>
                                <w:sz w:val="56"/>
                                <w:szCs w:val="72"/>
                                <w:lang w:val="en-US" w:eastAsia="zh-CN"/>
                              </w:rPr>
                              <w:t>宁 夏 回 族 自 治 区 科 学 技 术 厅</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distribute"/>
                              <w:textAlignment w:val="auto"/>
                              <w:outlineLvl w:val="9"/>
                              <w:rPr>
                                <w:rFonts w:hint="eastAsia" w:ascii="方正小标宋简体" w:hAnsi="华文中宋" w:eastAsia="方正小标宋简体"/>
                                <w:bCs/>
                                <w:color w:val="FF0000"/>
                                <w:spacing w:val="-46"/>
                                <w:w w:val="80"/>
                                <w:sz w:val="56"/>
                                <w:szCs w:val="72"/>
                                <w:lang w:val="en-US" w:eastAsia="zh-CN"/>
                              </w:rPr>
                            </w:pPr>
                            <w:r>
                              <w:rPr>
                                <w:rFonts w:hint="eastAsia" w:ascii="方正小标宋简体" w:hAnsi="华文中宋" w:eastAsia="方正小标宋简体"/>
                                <w:bCs/>
                                <w:color w:val="FF0000"/>
                                <w:spacing w:val="-46"/>
                                <w:w w:val="80"/>
                                <w:sz w:val="56"/>
                                <w:szCs w:val="72"/>
                                <w:lang w:val="en-US" w:eastAsia="zh-CN"/>
                              </w:rPr>
                              <w:t>宁夏回族自治区财政厅</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distribute"/>
                              <w:textAlignment w:val="auto"/>
                              <w:outlineLvl w:val="9"/>
                              <w:rPr>
                                <w:rFonts w:hint="eastAsia" w:ascii="方正小标宋简体" w:hAnsi="华文中宋" w:eastAsia="方正小标宋简体"/>
                                <w:bCs/>
                                <w:color w:val="FF0000"/>
                                <w:spacing w:val="-46"/>
                                <w:w w:val="80"/>
                                <w:sz w:val="56"/>
                                <w:szCs w:val="72"/>
                                <w:lang w:val="en-US" w:eastAsia="zh-CN"/>
                              </w:rPr>
                            </w:pPr>
                            <w:r>
                              <w:rPr>
                                <w:rFonts w:hint="eastAsia" w:ascii="方正小标宋简体" w:hAnsi="华文中宋" w:eastAsia="方正小标宋简体"/>
                                <w:bCs/>
                                <w:color w:val="FF0000"/>
                                <w:spacing w:val="-46"/>
                                <w:w w:val="80"/>
                                <w:sz w:val="56"/>
                                <w:szCs w:val="72"/>
                                <w:lang w:val="en-US" w:eastAsia="zh-CN"/>
                              </w:rPr>
                              <w:t>宁夏回族自治区自然资源厅</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distribute"/>
                              <w:textAlignment w:val="auto"/>
                              <w:outlineLvl w:val="9"/>
                              <w:rPr>
                                <w:rFonts w:hint="eastAsia" w:ascii="方正小标宋简体" w:hAnsi="华文中宋" w:eastAsia="方正小标宋简体"/>
                                <w:bCs/>
                                <w:color w:val="FF0000"/>
                                <w:spacing w:val="-46"/>
                                <w:w w:val="80"/>
                                <w:sz w:val="56"/>
                                <w:szCs w:val="72"/>
                                <w:lang w:val="en-US" w:eastAsia="zh-CN"/>
                              </w:rPr>
                            </w:pPr>
                            <w:r>
                              <w:rPr>
                                <w:rFonts w:hint="eastAsia" w:ascii="方正小标宋简体" w:hAnsi="华文中宋" w:eastAsia="方正小标宋简体"/>
                                <w:bCs/>
                                <w:color w:val="FF0000"/>
                                <w:spacing w:val="-46"/>
                                <w:w w:val="80"/>
                                <w:sz w:val="56"/>
                                <w:szCs w:val="72"/>
                                <w:lang w:val="en-US" w:eastAsia="zh-CN"/>
                              </w:rPr>
                              <w:t>宁夏回族自治区生态环境厅</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distribute"/>
                              <w:textAlignment w:val="auto"/>
                              <w:outlineLvl w:val="9"/>
                              <w:rPr>
                                <w:rFonts w:hint="eastAsia" w:ascii="方正小标宋简体" w:hAnsi="华文中宋" w:eastAsia="方正小标宋简体"/>
                                <w:bCs/>
                                <w:color w:val="FF0000"/>
                                <w:spacing w:val="-46"/>
                                <w:w w:val="80"/>
                                <w:sz w:val="56"/>
                                <w:szCs w:val="72"/>
                                <w:lang w:val="en-US" w:eastAsia="zh-CN"/>
                              </w:rPr>
                            </w:pPr>
                            <w:r>
                              <w:rPr>
                                <w:rFonts w:hint="eastAsia" w:ascii="方正小标宋简体" w:hAnsi="华文中宋" w:eastAsia="方正小标宋简体"/>
                                <w:bCs/>
                                <w:color w:val="FF0000"/>
                                <w:spacing w:val="-46"/>
                                <w:w w:val="80"/>
                                <w:sz w:val="56"/>
                                <w:szCs w:val="72"/>
                                <w:lang w:val="en-US" w:eastAsia="zh-CN"/>
                              </w:rPr>
                              <w:t>宁夏回族自治区林业和草原局</w:t>
                            </w:r>
                          </w:p>
                        </w:txbxContent>
                      </wps:txbx>
                      <wps:bodyPr upright="1"/>
                    </wps:wsp>
                  </a:graphicData>
                </a:graphic>
              </wp:anchor>
            </w:drawing>
          </mc:Choice>
          <mc:Fallback>
            <w:pict>
              <v:shape id="文本框 2" o:spid="_x0000_s1026" o:spt="202" type="#_x0000_t202" style="position:absolute;left:0pt;margin-left:-16.1pt;margin-top:17.55pt;height:268.4pt;width:397.15pt;z-index:251660288;mso-width-relative:page;mso-height-relative:page;" fillcolor="#FFFFFF" filled="t" stroked="f" coordsize="21600,21600" o:gfxdata="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lK2F49kAAAAKAQAADwAAAAAAAAABACAA&#10;AAAiAAAAZHJzL2Rvd25yZXYueG1sUEsBAhQAFAAAAAgAh07iQPTYooDTAQAAjwMAAA4AAAAAAAAA&#10;AQAgAAAAKAEAAGRycy9lMm9Eb2MueG1sUEsFBgAAAAAGAAYAWQEAAG0FAAAAAA==&#10;">
                <v:fill on="t" focussize="0,0"/>
                <v:stroke on="f"/>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distribute"/>
                        <w:textAlignment w:val="auto"/>
                        <w:outlineLvl w:val="9"/>
                        <w:rPr>
                          <w:rFonts w:hint="eastAsia" w:ascii="方正小标宋简体" w:hAnsi="华文中宋" w:eastAsia="方正小标宋简体"/>
                          <w:bCs/>
                          <w:color w:val="FF0000"/>
                          <w:spacing w:val="-46"/>
                          <w:w w:val="80"/>
                          <w:sz w:val="56"/>
                          <w:szCs w:val="56"/>
                        </w:rPr>
                      </w:pPr>
                      <w:r>
                        <w:rPr>
                          <w:rFonts w:hint="eastAsia" w:ascii="方正小标宋简体" w:hAnsi="华文中宋" w:eastAsia="方正小标宋简体"/>
                          <w:bCs/>
                          <w:color w:val="FF0000"/>
                          <w:spacing w:val="-46"/>
                          <w:w w:val="80"/>
                          <w:sz w:val="56"/>
                          <w:szCs w:val="72"/>
                        </w:rPr>
                        <w:t>宁夏回族自治区</w:t>
                      </w:r>
                      <w:r>
                        <w:rPr>
                          <w:rFonts w:hint="eastAsia" w:ascii="方正小标宋简体" w:hAnsi="华文中宋" w:eastAsia="方正小标宋简体"/>
                          <w:bCs/>
                          <w:color w:val="FF0000"/>
                          <w:spacing w:val="-46"/>
                          <w:w w:val="80"/>
                          <w:sz w:val="56"/>
                          <w:szCs w:val="72"/>
                          <w:lang w:eastAsia="zh-CN"/>
                        </w:rPr>
                        <w:t>农业农村厅</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distribute"/>
                        <w:textAlignment w:val="auto"/>
                        <w:outlineLvl w:val="9"/>
                        <w:rPr>
                          <w:rFonts w:hint="eastAsia" w:ascii="方正小标宋简体" w:hAnsi="华文中宋" w:eastAsia="方正小标宋简体"/>
                          <w:bCs/>
                          <w:color w:val="FF0000"/>
                          <w:spacing w:val="-46"/>
                          <w:w w:val="80"/>
                          <w:sz w:val="56"/>
                          <w:szCs w:val="72"/>
                          <w:lang w:eastAsia="zh-CN"/>
                        </w:rPr>
                      </w:pPr>
                      <w:r>
                        <w:rPr>
                          <w:rFonts w:hint="eastAsia" w:ascii="方正小标宋简体" w:hAnsi="华文中宋" w:eastAsia="方正小标宋简体"/>
                          <w:bCs/>
                          <w:color w:val="FF0000"/>
                          <w:spacing w:val="-46"/>
                          <w:w w:val="80"/>
                          <w:sz w:val="56"/>
                          <w:szCs w:val="72"/>
                        </w:rPr>
                        <w:t>宁夏回族自治区</w:t>
                      </w:r>
                      <w:r>
                        <w:rPr>
                          <w:rFonts w:hint="eastAsia" w:ascii="方正小标宋简体" w:hAnsi="华文中宋" w:eastAsia="方正小标宋简体"/>
                          <w:bCs/>
                          <w:color w:val="FF0000"/>
                          <w:spacing w:val="-46"/>
                          <w:w w:val="80"/>
                          <w:sz w:val="56"/>
                          <w:szCs w:val="72"/>
                          <w:lang w:eastAsia="zh-CN"/>
                        </w:rPr>
                        <w:t>发展和改革委员会</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distribute"/>
                        <w:textAlignment w:val="auto"/>
                        <w:outlineLvl w:val="9"/>
                        <w:rPr>
                          <w:rFonts w:hint="eastAsia" w:ascii="方正小标宋简体" w:hAnsi="华文中宋" w:eastAsia="方正小标宋简体"/>
                          <w:bCs/>
                          <w:color w:val="FF0000"/>
                          <w:spacing w:val="-46"/>
                          <w:w w:val="80"/>
                          <w:sz w:val="56"/>
                          <w:szCs w:val="72"/>
                          <w:lang w:val="en-US" w:eastAsia="zh-CN"/>
                        </w:rPr>
                      </w:pPr>
                      <w:r>
                        <w:rPr>
                          <w:rFonts w:hint="eastAsia" w:ascii="方正小标宋简体" w:hAnsi="华文中宋" w:eastAsia="方正小标宋简体"/>
                          <w:bCs/>
                          <w:color w:val="FF0000"/>
                          <w:spacing w:val="-46"/>
                          <w:w w:val="80"/>
                          <w:sz w:val="56"/>
                          <w:szCs w:val="72"/>
                          <w:lang w:val="en-US" w:eastAsia="zh-CN"/>
                        </w:rPr>
                        <w:t>宁 夏 回 族 自 治 区 科 学 技 术 厅</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distribute"/>
                        <w:textAlignment w:val="auto"/>
                        <w:outlineLvl w:val="9"/>
                        <w:rPr>
                          <w:rFonts w:hint="eastAsia" w:ascii="方正小标宋简体" w:hAnsi="华文中宋" w:eastAsia="方正小标宋简体"/>
                          <w:bCs/>
                          <w:color w:val="FF0000"/>
                          <w:spacing w:val="-46"/>
                          <w:w w:val="80"/>
                          <w:sz w:val="56"/>
                          <w:szCs w:val="72"/>
                          <w:lang w:val="en-US" w:eastAsia="zh-CN"/>
                        </w:rPr>
                      </w:pPr>
                      <w:r>
                        <w:rPr>
                          <w:rFonts w:hint="eastAsia" w:ascii="方正小标宋简体" w:hAnsi="华文中宋" w:eastAsia="方正小标宋简体"/>
                          <w:bCs/>
                          <w:color w:val="FF0000"/>
                          <w:spacing w:val="-46"/>
                          <w:w w:val="80"/>
                          <w:sz w:val="56"/>
                          <w:szCs w:val="72"/>
                          <w:lang w:val="en-US" w:eastAsia="zh-CN"/>
                        </w:rPr>
                        <w:t>宁夏回族自治区财政厅</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distribute"/>
                        <w:textAlignment w:val="auto"/>
                        <w:outlineLvl w:val="9"/>
                        <w:rPr>
                          <w:rFonts w:hint="eastAsia" w:ascii="方正小标宋简体" w:hAnsi="华文中宋" w:eastAsia="方正小标宋简体"/>
                          <w:bCs/>
                          <w:color w:val="FF0000"/>
                          <w:spacing w:val="-46"/>
                          <w:w w:val="80"/>
                          <w:sz w:val="56"/>
                          <w:szCs w:val="72"/>
                          <w:lang w:val="en-US" w:eastAsia="zh-CN"/>
                        </w:rPr>
                      </w:pPr>
                      <w:r>
                        <w:rPr>
                          <w:rFonts w:hint="eastAsia" w:ascii="方正小标宋简体" w:hAnsi="华文中宋" w:eastAsia="方正小标宋简体"/>
                          <w:bCs/>
                          <w:color w:val="FF0000"/>
                          <w:spacing w:val="-46"/>
                          <w:w w:val="80"/>
                          <w:sz w:val="56"/>
                          <w:szCs w:val="72"/>
                          <w:lang w:val="en-US" w:eastAsia="zh-CN"/>
                        </w:rPr>
                        <w:t>宁夏回族自治区自然资源厅</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distribute"/>
                        <w:textAlignment w:val="auto"/>
                        <w:outlineLvl w:val="9"/>
                        <w:rPr>
                          <w:rFonts w:hint="eastAsia" w:ascii="方正小标宋简体" w:hAnsi="华文中宋" w:eastAsia="方正小标宋简体"/>
                          <w:bCs/>
                          <w:color w:val="FF0000"/>
                          <w:spacing w:val="-46"/>
                          <w:w w:val="80"/>
                          <w:sz w:val="56"/>
                          <w:szCs w:val="72"/>
                          <w:lang w:val="en-US" w:eastAsia="zh-CN"/>
                        </w:rPr>
                      </w:pPr>
                      <w:r>
                        <w:rPr>
                          <w:rFonts w:hint="eastAsia" w:ascii="方正小标宋简体" w:hAnsi="华文中宋" w:eastAsia="方正小标宋简体"/>
                          <w:bCs/>
                          <w:color w:val="FF0000"/>
                          <w:spacing w:val="-46"/>
                          <w:w w:val="80"/>
                          <w:sz w:val="56"/>
                          <w:szCs w:val="72"/>
                          <w:lang w:val="en-US" w:eastAsia="zh-CN"/>
                        </w:rPr>
                        <w:t>宁夏回族自治区生态环境厅</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distribute"/>
                        <w:textAlignment w:val="auto"/>
                        <w:outlineLvl w:val="9"/>
                        <w:rPr>
                          <w:rFonts w:hint="eastAsia" w:ascii="方正小标宋简体" w:hAnsi="华文中宋" w:eastAsia="方正小标宋简体"/>
                          <w:bCs/>
                          <w:color w:val="FF0000"/>
                          <w:spacing w:val="-46"/>
                          <w:w w:val="80"/>
                          <w:sz w:val="56"/>
                          <w:szCs w:val="72"/>
                          <w:lang w:val="en-US" w:eastAsia="zh-CN"/>
                        </w:rPr>
                      </w:pPr>
                      <w:r>
                        <w:rPr>
                          <w:rFonts w:hint="eastAsia" w:ascii="方正小标宋简体" w:hAnsi="华文中宋" w:eastAsia="方正小标宋简体"/>
                          <w:bCs/>
                          <w:color w:val="FF0000"/>
                          <w:spacing w:val="-46"/>
                          <w:w w:val="80"/>
                          <w:sz w:val="56"/>
                          <w:szCs w:val="72"/>
                          <w:lang w:val="en-US" w:eastAsia="zh-CN"/>
                        </w:rPr>
                        <w:t>宁夏回族自治区林业和草原局</w:t>
                      </w:r>
                    </w:p>
                  </w:txbxContent>
                </v:textbox>
              </v:shape>
            </w:pict>
          </mc:Fallback>
        </mc:AlternateContent>
      </w:r>
      <w:r>
        <w:rPr>
          <w:rFonts w:hint="eastAsia" w:ascii="方正小标宋简体" w:hAnsi="方正小标宋简体" w:eastAsia="方正小标宋简体" w:cs="方正小标宋简体"/>
          <w:b w:val="0"/>
          <w:bCs w:val="0"/>
          <w:sz w:val="44"/>
          <w:szCs w:val="44"/>
          <w:lang w:val="en-US" w:eastAsia="zh-CN"/>
        </w:rPr>
        <w:t xml:space="preserve">  </w:t>
      </w:r>
    </w:p>
    <w:p>
      <w:pPr>
        <w:pStyle w:val="2"/>
      </w:pPr>
    </w:p>
    <w:p>
      <w:pPr>
        <w:pStyle w:val="2"/>
      </w:pPr>
    </w:p>
    <w:p>
      <w:pPr>
        <w:spacing w:line="500" w:lineRule="exact"/>
        <w:ind w:firstLine="663" w:firstLineChars="150"/>
        <w:jc w:val="center"/>
        <w:rPr>
          <w:rFonts w:ascii="宋体"/>
          <w:b/>
          <w:bCs/>
          <w:sz w:val="44"/>
          <w:szCs w:val="32"/>
        </w:rPr>
      </w:pPr>
    </w:p>
    <w:p>
      <w:pPr>
        <w:spacing w:line="500" w:lineRule="exact"/>
        <w:ind w:firstLine="663" w:firstLineChars="150"/>
        <w:jc w:val="center"/>
        <w:rPr>
          <w:rFonts w:ascii="宋体"/>
          <w:b/>
          <w:bCs/>
          <w:sz w:val="44"/>
          <w:szCs w:val="32"/>
        </w:rPr>
      </w:pPr>
    </w:p>
    <w:p>
      <w:pPr>
        <w:spacing w:line="380" w:lineRule="exact"/>
        <w:ind w:firstLine="7315" w:firstLineChars="2286"/>
        <w:rPr>
          <w:rFonts w:ascii="仿宋_GB2312" w:hAnsi="宋体" w:eastAsia="仿宋_GB2312"/>
          <w:sz w:val="32"/>
          <w:szCs w:val="32"/>
        </w:rPr>
      </w:pPr>
    </w:p>
    <w:p>
      <w:pPr>
        <w:spacing w:line="380" w:lineRule="exact"/>
        <w:ind w:firstLine="4819" w:firstLineChars="2286"/>
        <w:rPr>
          <w:rFonts w:ascii="宋体"/>
          <w:b/>
          <w:bCs/>
          <w:szCs w:val="32"/>
        </w:rPr>
      </w:pPr>
      <w:r>
        <w:rPr>
          <w:rFonts w:ascii="宋体"/>
          <w:b/>
          <w:bCs/>
          <w:szCs w:val="32"/>
        </w:rPr>
        <mc:AlternateContent>
          <mc:Choice Requires="wpc">
            <w:drawing>
              <wp:inline distT="0" distB="0" distL="114300" distR="114300">
                <wp:extent cx="5257800" cy="3070860"/>
                <wp:effectExtent l="0" t="0" r="0" b="17780"/>
                <wp:docPr id="5" name="画布 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a:noFill/>
                        </a:ln>
                      </wpc:whole>
                      <wps:wsp>
                        <wps:cNvPr id="4" name="文本框 5"/>
                        <wps:cNvSpPr txBox="1"/>
                        <wps:spPr>
                          <a:xfrm>
                            <a:off x="1696085" y="2125980"/>
                            <a:ext cx="1184275" cy="944880"/>
                          </a:xfrm>
                          <a:prstGeom prst="rect">
                            <a:avLst/>
                          </a:prstGeom>
                          <a:solidFill>
                            <a:srgbClr val="FFFFFF"/>
                          </a:solidFill>
                          <a:ln w="9525">
                            <a:noFill/>
                          </a:ln>
                          <a:effectLst/>
                        </wps:spPr>
                        <wps:txbx>
                          <w:txbxContent>
                            <w:p>
                              <w:pPr>
                                <w:rPr>
                                  <w:rFonts w:hint="eastAsia" w:ascii="方正小标宋简体" w:eastAsia="方正小标宋简体"/>
                                  <w:color w:val="FF0000"/>
                                  <w:sz w:val="84"/>
                                  <w:szCs w:val="84"/>
                                </w:rPr>
                              </w:pPr>
                              <w:r>
                                <w:rPr>
                                  <w:rFonts w:hint="eastAsia" w:ascii="方正小标宋简体" w:hAnsi="华文中宋" w:eastAsia="方正小标宋简体"/>
                                  <w:bCs/>
                                  <w:color w:val="FF0000"/>
                                  <w:spacing w:val="-32"/>
                                  <w:w w:val="92"/>
                                  <w:sz w:val="84"/>
                                  <w:szCs w:val="84"/>
                                </w:rPr>
                                <w:t>文</w:t>
                              </w:r>
                              <w:r>
                                <w:rPr>
                                  <w:rFonts w:hint="eastAsia" w:ascii="方正小标宋简体" w:eastAsia="方正小标宋简体"/>
                                  <w:color w:val="FF0000"/>
                                  <w:sz w:val="84"/>
                                  <w:szCs w:val="84"/>
                                </w:rPr>
                                <w:t>件</w:t>
                              </w:r>
                            </w:p>
                          </w:txbxContent>
                        </wps:txbx>
                        <wps:bodyPr upright="1"/>
                      </wps:wsp>
                    </wpc:wpc>
                  </a:graphicData>
                </a:graphic>
              </wp:inline>
            </w:drawing>
          </mc:Choice>
          <mc:Fallback>
            <w:pict>
              <v:group id="画布 3" o:spid="_x0000_s1026" o:spt="203" style="height:241.8pt;width:414pt;" coordsize="5257800,3070860" editas="canvas" o:gfxdata="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AhD1/PWAAAABQEAAA8AAAAAAAAAAQAgAAAAIgAA&#10;AGRycy9kb3ducmV2LnhtbFBLAQIUABQAAAAIAIdO4kCup5pEQwIAAMsEAAAOAAAAAAAAAAEAIAAA&#10;ACUBAABkcnMvZTJvRG9jLnhtbFBLBQYAAAAABgAGAFkBAADaBQAAAAA=&#10;">
                <o:lock v:ext="edit" aspectratio="f"/>
                <v:shape id="画布 3" o:spid="_x0000_s1026" style="position:absolute;left:0;top:0;height:3070860;width:5257800;" filled="f" stroked="f" coordsize="21600,21600" o:gfxdata="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">
                  <v:fill on="f" focussize="0,0"/>
                  <v:stroke on="f"/>
                  <v:imagedata o:title=""/>
                  <o:lock v:ext="edit" aspectratio="t"/>
                </v:shape>
                <v:shape id="文本框 5" o:spid="_x0000_s1026" o:spt="202" type="#_x0000_t202" style="position:absolute;left:1696085;top:2125980;height:944880;width:1184275;" fillcolor="#FFFFFF" filled="t" stroked="f" coordsize="21600,21600" o:gfxdata="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FnktbvUAAAABQEAAA8AAAAAAAAAAQAg&#10;AAAAIgAAAGRycy9kb3ducmV2LnhtbFBLAQIUABQAAAAIAIdO4kCvkxCt2QEAAJoDAAAOAAAAAAAA&#10;AAEAIAAAACMBAABkcnMvZTJvRG9jLnhtbFBLBQYAAAAABgAGAFkBAABuBQAAAAA=&#10;">
                  <v:fill on="t" focussize="0,0"/>
                  <v:stroke on="f"/>
                  <v:imagedata o:title=""/>
                  <o:lock v:ext="edit" aspectratio="f"/>
                  <v:textbox>
                    <w:txbxContent>
                      <w:p>
                        <w:pPr>
                          <w:rPr>
                            <w:rFonts w:hint="eastAsia" w:ascii="方正小标宋简体" w:eastAsia="方正小标宋简体"/>
                            <w:color w:val="FF0000"/>
                            <w:sz w:val="84"/>
                            <w:szCs w:val="84"/>
                          </w:rPr>
                        </w:pPr>
                        <w:r>
                          <w:rPr>
                            <w:rFonts w:hint="eastAsia" w:ascii="方正小标宋简体" w:hAnsi="华文中宋" w:eastAsia="方正小标宋简体"/>
                            <w:bCs/>
                            <w:color w:val="FF0000"/>
                            <w:spacing w:val="-32"/>
                            <w:w w:val="92"/>
                            <w:sz w:val="84"/>
                            <w:szCs w:val="84"/>
                          </w:rPr>
                          <w:t>文</w:t>
                        </w:r>
                        <w:r>
                          <w:rPr>
                            <w:rFonts w:hint="eastAsia" w:ascii="方正小标宋简体" w:eastAsia="方正小标宋简体"/>
                            <w:color w:val="FF0000"/>
                            <w:sz w:val="84"/>
                            <w:szCs w:val="84"/>
                          </w:rPr>
                          <w:t>件</w:t>
                        </w:r>
                      </w:p>
                    </w:txbxContent>
                  </v:textbox>
                </v:shape>
                <w10:wrap type="none"/>
                <w10:anchorlock/>
              </v:group>
            </w:pict>
          </mc:Fallback>
        </mc:AlternateContent>
      </w:r>
    </w:p>
    <w:p>
      <w:pPr>
        <w:spacing w:line="400" w:lineRule="exact"/>
        <w:jc w:val="center"/>
        <w:rPr>
          <w:rFonts w:ascii="仿宋_GB2312" w:hAnsi="宋体" w:eastAsia="仿宋_GB2312"/>
          <w:b/>
          <w:sz w:val="32"/>
          <w:szCs w:val="32"/>
        </w:rPr>
      </w:pPr>
    </w:p>
    <w:p>
      <w:pPr>
        <w:spacing w:line="400" w:lineRule="exact"/>
        <w:jc w:val="center"/>
        <w:rPr>
          <w:rFonts w:hint="eastAsia" w:ascii="楷体" w:hAnsi="楷体" w:eastAsia="楷体"/>
          <w:sz w:val="32"/>
          <w:szCs w:val="32"/>
        </w:rPr>
      </w:pPr>
      <w:r>
        <w:rPr>
          <w:rFonts w:ascii="仿宋_GB2312" w:hAnsi="宋体" w:eastAsia="仿宋_GB2312"/>
          <w:sz w:val="32"/>
          <w:szCs w:val="32"/>
        </w:rPr>
        <w:t xml:space="preserve">                                            </w:t>
      </w:r>
    </w:p>
    <w:p>
      <w:pPr>
        <w:spacing w:line="600" w:lineRule="exact"/>
        <w:jc w:val="both"/>
        <w:rPr>
          <w:rFonts w:hint="eastAsia" w:ascii="方正仿宋_GBK" w:hAnsi="方正仿宋_GBK" w:eastAsia="方正仿宋_GBK" w:cs="方正仿宋_GBK"/>
          <w:sz w:val="32"/>
        </w:rPr>
      </w:pPr>
    </w:p>
    <w:p>
      <w:pPr>
        <w:spacing w:line="600" w:lineRule="exact"/>
        <w:jc w:val="center"/>
        <w:rPr>
          <w:rFonts w:hint="eastAsia" w:ascii="方正仿宋_GBK" w:hAnsi="方正仿宋_GBK" w:eastAsia="方正仿宋_GBK" w:cs="方正仿宋_GBK"/>
          <w:sz w:val="32"/>
        </w:rPr>
      </w:pPr>
    </w:p>
    <w:p>
      <w:pPr>
        <w:spacing w:line="600" w:lineRule="exact"/>
        <w:jc w:val="center"/>
        <w:rPr>
          <w:rFonts w:hint="eastAsia" w:ascii="方正仿宋_GBK" w:hAnsi="方正仿宋_GBK" w:eastAsia="方正仿宋_GBK" w:cs="方正仿宋_GBK"/>
          <w:sz w:val="32"/>
        </w:rPr>
      </w:pPr>
    </w:p>
    <w:p>
      <w:pPr>
        <w:spacing w:line="600" w:lineRule="exact"/>
        <w:jc w:val="center"/>
        <w:rPr>
          <w:rFonts w:hint="eastAsia" w:ascii="方正仿宋_GBK" w:hAnsi="方正仿宋_GBK" w:eastAsia="方正仿宋_GBK" w:cs="方正仿宋_GBK"/>
          <w:sz w:val="32"/>
        </w:rPr>
      </w:pPr>
      <w:r>
        <w:rPr>
          <w:rFonts w:hint="eastAsia" w:ascii="仿宋_GB2312" w:hAnsi="仿宋_GB2312" w:eastAsia="仿宋_GB2312" w:cs="仿宋_GB2312"/>
          <w:sz w:val="32"/>
        </w:rPr>
        <w:t>宁</w:t>
      </w:r>
      <w:r>
        <w:rPr>
          <w:rFonts w:hint="eastAsia" w:ascii="仿宋_GB2312" w:hAnsi="仿宋_GB2312" w:eastAsia="仿宋_GB2312" w:cs="仿宋_GB2312"/>
          <w:sz w:val="32"/>
          <w:lang w:eastAsia="zh-CN"/>
        </w:rPr>
        <w:t>农</w:t>
      </w:r>
      <w:r>
        <w:rPr>
          <w:rFonts w:hint="eastAsia" w:ascii="仿宋_GB2312" w:hAnsi="仿宋_GB2312" w:eastAsia="仿宋_GB2312" w:cs="仿宋_GB2312"/>
          <w:sz w:val="32"/>
        </w:rPr>
        <w:t>（</w:t>
      </w:r>
      <w:r>
        <w:rPr>
          <w:rFonts w:hint="eastAsia" w:ascii="仿宋_GB2312" w:hAnsi="仿宋_GB2312" w:eastAsia="仿宋_GB2312" w:cs="仿宋_GB2312"/>
          <w:sz w:val="32"/>
          <w:lang w:eastAsia="zh-CN"/>
        </w:rPr>
        <w:t>计</w:t>
      </w:r>
      <w:r>
        <w:rPr>
          <w:rFonts w:hint="eastAsia" w:ascii="仿宋_GB2312" w:hAnsi="仿宋_GB2312" w:eastAsia="仿宋_GB2312" w:cs="仿宋_GB2312"/>
          <w:sz w:val="32"/>
        </w:rPr>
        <w:t>）发〔</w:t>
      </w:r>
      <w:r>
        <w:rPr>
          <w:rFonts w:hint="default" w:ascii="Times New Roman" w:hAnsi="Times New Roman" w:eastAsia="仿宋_GB2312" w:cs="Times New Roman"/>
          <w:sz w:val="32"/>
        </w:rPr>
        <w:t>20</w:t>
      </w:r>
      <w:r>
        <w:rPr>
          <w:rFonts w:hint="default" w:ascii="Times New Roman" w:hAnsi="Times New Roman" w:eastAsia="仿宋_GB2312" w:cs="Times New Roman"/>
          <w:sz w:val="32"/>
          <w:lang w:val="en-US" w:eastAsia="zh-CN"/>
        </w:rPr>
        <w:t>22</w:t>
      </w:r>
      <w:r>
        <w:rPr>
          <w:rFonts w:hint="eastAsia" w:ascii="仿宋_GB2312" w:hAnsi="仿宋_GB2312" w:eastAsia="仿宋_GB2312" w:cs="仿宋_GB2312"/>
          <w:sz w:val="32"/>
        </w:rPr>
        <w:t>〕</w:t>
      </w:r>
      <w:r>
        <w:rPr>
          <w:rFonts w:hint="default" w:ascii="Times New Roman" w:hAnsi="Times New Roman" w:eastAsia="仿宋_GB2312" w:cs="Times New Roman"/>
          <w:sz w:val="32"/>
          <w:lang w:val="en-US" w:eastAsia="zh-CN"/>
        </w:rPr>
        <w:t>18</w:t>
      </w:r>
      <w:r>
        <w:rPr>
          <w:rFonts w:hint="eastAsia" w:ascii="仿宋_GB2312" w:hAnsi="仿宋_GB2312" w:eastAsia="仿宋_GB2312" w:cs="仿宋_GB2312"/>
          <w:sz w:val="32"/>
        </w:rPr>
        <w:t>号</w:t>
      </w:r>
    </w:p>
    <w:p>
      <w:pPr>
        <w:pStyle w:val="31"/>
        <w:autoSpaceDN w:val="0"/>
        <w:spacing w:line="600" w:lineRule="exact"/>
        <w:rPr>
          <w:rFonts w:hint="eastAsia" w:ascii="方正小标宋简体" w:eastAsia="方正小标宋简体"/>
          <w:color w:val="FF0000"/>
          <w:sz w:val="44"/>
          <w:szCs w:val="44"/>
        </w:rPr>
      </w:pPr>
      <w:r>
        <w:rPr>
          <w:rFonts w:hint="eastAsia" w:ascii="方正小标宋简体" w:eastAsia="方正小标宋简体"/>
          <w:color w:val="FF0000"/>
          <w:sz w:val="44"/>
          <w:szCs w:val="44"/>
        </w:rPr>
        <mc:AlternateContent>
          <mc:Choice Requires="wps">
            <w:drawing>
              <wp:anchor distT="0" distB="0" distL="114300" distR="114300" simplePos="0" relativeHeight="251661312" behindDoc="0" locked="0" layoutInCell="1" allowOverlap="1">
                <wp:simplePos x="0" y="0"/>
                <wp:positionH relativeFrom="column">
                  <wp:posOffset>-114300</wp:posOffset>
                </wp:positionH>
                <wp:positionV relativeFrom="paragraph">
                  <wp:posOffset>101600</wp:posOffset>
                </wp:positionV>
                <wp:extent cx="5901055" cy="7620"/>
                <wp:effectExtent l="0" t="0" r="0" b="0"/>
                <wp:wrapNone/>
                <wp:docPr id="2" name="直线 6"/>
                <wp:cNvGraphicFramePr/>
                <a:graphic xmlns:a="http://schemas.openxmlformats.org/drawingml/2006/main">
                  <a:graphicData uri="http://schemas.microsoft.com/office/word/2010/wordprocessingShape">
                    <wps:wsp>
                      <wps:cNvCnPr/>
                      <wps:spPr>
                        <a:xfrm>
                          <a:off x="0" y="0"/>
                          <a:ext cx="5901055" cy="7620"/>
                        </a:xfrm>
                        <a:prstGeom prst="straightConnector1">
                          <a:avLst/>
                        </a:prstGeom>
                        <a:ln w="19050" cap="flat" cmpd="sng">
                          <a:solidFill>
                            <a:srgbClr val="FF0000"/>
                          </a:solidFill>
                          <a:prstDash val="solid"/>
                          <a:round/>
                          <a:headEnd type="none" w="med" len="med"/>
                          <a:tailEnd type="none" w="med" len="med"/>
                        </a:ln>
                      </wps:spPr>
                      <wps:bodyPr/>
                    </wps:wsp>
                  </a:graphicData>
                </a:graphic>
              </wp:anchor>
            </w:drawing>
          </mc:Choice>
          <mc:Fallback>
            <w:pict>
              <v:shape id="直线 6" o:spid="_x0000_s1026" o:spt="32" type="#_x0000_t32" style="position:absolute;left:0pt;margin-left:-9pt;margin-top:8pt;height:0.6pt;width:464.65pt;z-index:251661312;mso-width-relative:page;mso-height-relative:page;" filled="f" stroked="t" coordsize="21600,21600" o:gfxdata="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Jla8C/YAAAACQEAAA8AAAAAAAAAAQAgAAAAIgAAAGRycy9kb3ducmV2LnhtbFBLAQIU&#10;ABQAAAAIAIdO4kDXlq6U8wEAAOsDAAAOAAAAAAAAAAEAIAAAACcBAABkcnMvZTJvRG9jLnhtbFBL&#10;BQYAAAAABgAGAFkBAACMBQAAAAA=&#10;">
                <v:fill on="f" focussize="0,0"/>
                <v:stroke weight="1.5pt" color="#FF0000" joinstyle="round"/>
                <v:imagedata o:title=""/>
                <o:lock v:ext="edit" aspectratio="f"/>
              </v:shape>
            </w:pict>
          </mc:Fallback>
        </mc:AlternateContent>
      </w:r>
    </w:p>
    <w:p>
      <w:pPr>
        <w:keepNext w:val="0"/>
        <w:keepLines w:val="0"/>
        <w:pageBreakBefore w:val="0"/>
        <w:widowControl w:val="0"/>
        <w:kinsoku/>
        <w:wordWrap/>
        <w:overflowPunct/>
        <w:topLinePunct w:val="0"/>
        <w:autoSpaceDE w:val="0"/>
        <w:autoSpaceDN w:val="0"/>
        <w:bidi w:val="0"/>
        <w:adjustRightInd w:val="0"/>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kern w:val="0"/>
          <w:sz w:val="44"/>
          <w:szCs w:val="44"/>
        </w:rPr>
      </w:pPr>
      <w:r>
        <w:rPr>
          <w:rFonts w:hint="eastAsia" w:ascii="方正小标宋简体" w:hAnsi="方正小标宋简体" w:eastAsia="方正小标宋简体" w:cs="方正小标宋简体"/>
          <w:bCs/>
          <w:kern w:val="0"/>
          <w:sz w:val="44"/>
          <w:szCs w:val="44"/>
          <w:lang w:eastAsia="zh-CN"/>
        </w:rPr>
        <w:t>关于印发《</w:t>
      </w:r>
      <w:r>
        <w:rPr>
          <w:rFonts w:hint="eastAsia" w:ascii="方正小标宋简体" w:hAnsi="方正小标宋简体" w:eastAsia="方正小标宋简体" w:cs="方正小标宋简体"/>
          <w:bCs/>
          <w:kern w:val="0"/>
          <w:sz w:val="44"/>
          <w:szCs w:val="44"/>
        </w:rPr>
        <w:t>宁夏</w:t>
      </w:r>
      <w:r>
        <w:rPr>
          <w:rFonts w:hint="eastAsia" w:ascii="方正小标宋简体" w:hAnsi="方正小标宋简体" w:eastAsia="方正小标宋简体" w:cs="方正小标宋简体"/>
          <w:bCs/>
          <w:kern w:val="0"/>
          <w:sz w:val="44"/>
          <w:szCs w:val="44"/>
          <w:lang w:eastAsia="zh-CN"/>
        </w:rPr>
        <w:t>回族自治区</w:t>
      </w:r>
      <w:r>
        <w:rPr>
          <w:rFonts w:hint="eastAsia" w:ascii="方正小标宋简体" w:hAnsi="方正小标宋简体" w:eastAsia="方正小标宋简体" w:cs="方正小标宋简体"/>
          <w:bCs/>
          <w:kern w:val="0"/>
          <w:sz w:val="44"/>
          <w:szCs w:val="44"/>
        </w:rPr>
        <w:t>农业绿色发展</w:t>
      </w:r>
    </w:p>
    <w:p>
      <w:pPr>
        <w:keepNext w:val="0"/>
        <w:keepLines w:val="0"/>
        <w:pageBreakBefore w:val="0"/>
        <w:widowControl w:val="0"/>
        <w:kinsoku/>
        <w:wordWrap/>
        <w:overflowPunct/>
        <w:topLinePunct w:val="0"/>
        <w:autoSpaceDE w:val="0"/>
        <w:autoSpaceDN w:val="0"/>
        <w:bidi w:val="0"/>
        <w:adjustRightInd w:val="0"/>
        <w:snapToGrid/>
        <w:spacing w:line="64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bCs/>
          <w:kern w:val="0"/>
          <w:sz w:val="44"/>
          <w:szCs w:val="44"/>
          <w:lang w:eastAsia="zh-CN"/>
        </w:rPr>
      </w:pPr>
      <w:r>
        <w:rPr>
          <w:rFonts w:hint="eastAsia" w:ascii="方正小标宋简体" w:hAnsi="方正小标宋简体" w:eastAsia="方正小标宋简体" w:cs="方正小标宋简体"/>
          <w:bCs/>
          <w:kern w:val="0"/>
          <w:sz w:val="44"/>
          <w:szCs w:val="44"/>
          <w:lang w:eastAsia="zh-CN"/>
        </w:rPr>
        <w:t>“十四五”规划（</w:t>
      </w:r>
      <w:r>
        <w:rPr>
          <w:rFonts w:hint="eastAsia" w:ascii="方正小标宋简体" w:hAnsi="方正小标宋简体" w:eastAsia="方正小标宋简体" w:cs="方正小标宋简体"/>
          <w:bCs/>
          <w:kern w:val="0"/>
          <w:sz w:val="44"/>
          <w:szCs w:val="44"/>
          <w:lang w:val="en-US" w:eastAsia="zh-CN"/>
        </w:rPr>
        <w:t>2021-2025年</w:t>
      </w:r>
      <w:r>
        <w:rPr>
          <w:rFonts w:hint="eastAsia" w:ascii="方正小标宋简体" w:hAnsi="方正小标宋简体" w:eastAsia="方正小标宋简体" w:cs="方正小标宋简体"/>
          <w:bCs/>
          <w:kern w:val="0"/>
          <w:sz w:val="44"/>
          <w:szCs w:val="44"/>
          <w:lang w:eastAsia="zh-CN"/>
        </w:rPr>
        <w:t>）》的通知</w:t>
      </w:r>
    </w:p>
    <w:p>
      <w:pPr>
        <w:autoSpaceDE w:val="0"/>
        <w:autoSpaceDN w:val="0"/>
        <w:adjustRightInd w:val="0"/>
        <w:spacing w:line="600" w:lineRule="exact"/>
        <w:jc w:val="both"/>
        <w:rPr>
          <w:rFonts w:hint="eastAsia" w:ascii="仿宋_GB2312" w:hAnsi="仿宋_GB2312" w:eastAsia="仿宋_GB2312" w:cs="仿宋_GB2312"/>
          <w:bCs/>
          <w:kern w:val="0"/>
          <w:sz w:val="32"/>
          <w:szCs w:val="32"/>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ascii="仿宋_GB2312" w:hAnsi="仿宋_GB2312" w:eastAsia="仿宋_GB2312" w:cs="仿宋_GB2312"/>
          <w:b w:val="0"/>
          <w:bCs w:val="0"/>
          <w:kern w:val="0"/>
          <w:sz w:val="32"/>
          <w:szCs w:val="32"/>
          <w:lang w:eastAsia="zh-CN"/>
        </w:rPr>
      </w:pPr>
      <w:r>
        <w:rPr>
          <w:rFonts w:hint="eastAsia" w:ascii="仿宋_GB2312" w:hAnsi="仿宋_GB2312" w:eastAsia="仿宋_GB2312" w:cs="仿宋_GB2312"/>
          <w:b w:val="0"/>
          <w:bCs w:val="0"/>
          <w:kern w:val="0"/>
          <w:sz w:val="32"/>
          <w:szCs w:val="32"/>
          <w:lang w:eastAsia="zh-CN"/>
        </w:rPr>
        <w:t>各市、县（区）农业农村局、发展和改革委（局）、科技局、财政局、自然资源局、生态环境局、林业和草原局：</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为认真贯彻落实习近平总书记来宁视察重要讲话精神，</w:t>
      </w:r>
      <w:r>
        <w:rPr>
          <w:rFonts w:hint="eastAsia" w:ascii="仿宋_GB2312" w:hAnsi="仿宋_GB2312" w:eastAsia="仿宋_GB2312" w:cs="仿宋_GB2312"/>
          <w:b w:val="0"/>
          <w:bCs w:val="0"/>
          <w:color w:val="auto"/>
          <w:sz w:val="32"/>
          <w:szCs w:val="32"/>
        </w:rPr>
        <w:t>全力推动国家农业绿色发展先行区建设，</w:t>
      </w:r>
      <w:r>
        <w:rPr>
          <w:rFonts w:hint="eastAsia" w:ascii="仿宋_GB2312" w:hAnsi="仿宋_GB2312" w:eastAsia="仿宋_GB2312" w:cs="仿宋_GB2312"/>
          <w:b w:val="0"/>
          <w:bCs w:val="0"/>
          <w:sz w:val="32"/>
          <w:szCs w:val="32"/>
          <w:lang w:eastAsia="zh-CN"/>
        </w:rPr>
        <w:t>根据</w:t>
      </w:r>
      <w:r>
        <w:rPr>
          <w:rFonts w:hint="eastAsia" w:ascii="仿宋_GB2312" w:hAnsi="仿宋_GB2312" w:eastAsia="仿宋_GB2312" w:cs="仿宋_GB2312"/>
          <w:b w:val="0"/>
          <w:bCs w:val="0"/>
          <w:sz w:val="32"/>
          <w:szCs w:val="32"/>
        </w:rPr>
        <w:t>《“十四五”全国农业绿色发展规划》</w:t>
      </w:r>
      <w:r>
        <w:rPr>
          <w:rFonts w:hint="eastAsia" w:ascii="仿宋_GB2312" w:hAnsi="仿宋_GB2312" w:eastAsia="仿宋_GB2312" w:cs="仿宋_GB2312"/>
          <w:b w:val="0"/>
          <w:bCs w:val="0"/>
          <w:sz w:val="32"/>
          <w:szCs w:val="32"/>
          <w:lang w:eastAsia="zh-CN"/>
        </w:rPr>
        <w:t>等文件精神</w:t>
      </w:r>
      <w:r>
        <w:rPr>
          <w:rFonts w:hint="eastAsia" w:ascii="仿宋_GB2312" w:hAnsi="仿宋_GB2312" w:eastAsia="仿宋_GB2312" w:cs="仿宋_GB2312"/>
          <w:b w:val="0"/>
          <w:bCs w:val="0"/>
          <w:kern w:val="0"/>
          <w:sz w:val="32"/>
          <w:szCs w:val="32"/>
          <w:lang w:val="en-US" w:eastAsia="zh-CN"/>
        </w:rPr>
        <w:t>，自治区农业农村厅等七部门联合制定了《宁夏回族自治区农业绿色发展“十四五”规划（</w:t>
      </w:r>
      <w:r>
        <w:rPr>
          <w:rFonts w:hint="default" w:ascii="Times New Roman" w:hAnsi="Times New Roman" w:eastAsia="仿宋_GB2312" w:cs="Times New Roman"/>
          <w:b w:val="0"/>
          <w:bCs w:val="0"/>
          <w:kern w:val="0"/>
          <w:sz w:val="32"/>
          <w:szCs w:val="32"/>
          <w:lang w:val="en-US" w:eastAsia="zh-CN"/>
        </w:rPr>
        <w:t>2021</w:t>
      </w:r>
      <w:r>
        <w:rPr>
          <w:rFonts w:hint="eastAsia" w:ascii="仿宋_GB2312" w:hAnsi="仿宋_GB2312" w:eastAsia="仿宋_GB2312" w:cs="仿宋_GB2312"/>
          <w:b w:val="0"/>
          <w:bCs w:val="0"/>
          <w:kern w:val="0"/>
          <w:sz w:val="32"/>
          <w:szCs w:val="32"/>
          <w:lang w:val="en-US" w:eastAsia="zh-CN"/>
        </w:rPr>
        <w:t>-</w:t>
      </w:r>
      <w:r>
        <w:rPr>
          <w:rFonts w:hint="eastAsia" w:ascii="Times New Roman" w:hAnsi="Times New Roman" w:eastAsia="仿宋_GB2312" w:cs="Times New Roman"/>
          <w:b w:val="0"/>
          <w:bCs w:val="0"/>
          <w:kern w:val="0"/>
          <w:sz w:val="32"/>
          <w:szCs w:val="32"/>
          <w:lang w:val="en-US" w:eastAsia="zh-CN"/>
        </w:rPr>
        <w:t>2025</w:t>
      </w:r>
      <w:r>
        <w:rPr>
          <w:rFonts w:hint="eastAsia" w:ascii="仿宋_GB2312" w:hAnsi="仿宋_GB2312" w:eastAsia="仿宋_GB2312" w:cs="仿宋_GB2312"/>
          <w:b w:val="0"/>
          <w:bCs w:val="0"/>
          <w:kern w:val="0"/>
          <w:sz w:val="32"/>
          <w:szCs w:val="32"/>
          <w:lang w:val="en-US" w:eastAsia="zh-CN"/>
        </w:rPr>
        <w:t>年）》，现印发给你们，请严格按照国家农业绿色发展先行区建设有关要求，认真抓好贯彻落实。</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b w:val="0"/>
          <w:bCs w:val="0"/>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附件：宁夏回族自治区农业绿色发展“十四五”规划</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     （</w:t>
      </w:r>
      <w:r>
        <w:rPr>
          <w:rFonts w:hint="eastAsia" w:ascii="Times New Roman" w:hAnsi="Times New Roman" w:eastAsia="仿宋_GB2312" w:cs="Times New Roman"/>
          <w:b w:val="0"/>
          <w:bCs w:val="0"/>
          <w:kern w:val="0"/>
          <w:sz w:val="32"/>
          <w:szCs w:val="32"/>
          <w:lang w:val="en-US" w:eastAsia="zh-CN"/>
        </w:rPr>
        <w:t>2021</w:t>
      </w:r>
      <w:r>
        <w:rPr>
          <w:rFonts w:hint="eastAsia" w:ascii="仿宋_GB2312" w:hAnsi="仿宋_GB2312" w:eastAsia="仿宋_GB2312" w:cs="仿宋_GB2312"/>
          <w:b w:val="0"/>
          <w:bCs w:val="0"/>
          <w:kern w:val="0"/>
          <w:sz w:val="32"/>
          <w:szCs w:val="32"/>
          <w:lang w:val="en-US" w:eastAsia="zh-CN"/>
        </w:rPr>
        <w:t>-</w:t>
      </w:r>
      <w:r>
        <w:rPr>
          <w:rFonts w:hint="eastAsia" w:ascii="Times New Roman" w:hAnsi="Times New Roman" w:eastAsia="仿宋_GB2312" w:cs="Times New Roman"/>
          <w:b w:val="0"/>
          <w:bCs w:val="0"/>
          <w:kern w:val="0"/>
          <w:sz w:val="32"/>
          <w:szCs w:val="32"/>
          <w:lang w:val="en-US" w:eastAsia="zh-CN"/>
        </w:rPr>
        <w:t>2025</w:t>
      </w:r>
      <w:r>
        <w:rPr>
          <w:rFonts w:hint="eastAsia" w:ascii="仿宋_GB2312" w:hAnsi="仿宋_GB2312" w:eastAsia="仿宋_GB2312" w:cs="仿宋_GB2312"/>
          <w:b w:val="0"/>
          <w:bCs w:val="0"/>
          <w:kern w:val="0"/>
          <w:sz w:val="32"/>
          <w:szCs w:val="32"/>
          <w:lang w:val="en-US" w:eastAsia="zh-CN"/>
        </w:rPr>
        <w:t>年）</w:t>
      </w:r>
    </w:p>
    <w:p>
      <w:pPr>
        <w:widowControl/>
        <w:spacing w:line="600" w:lineRule="exact"/>
        <w:jc w:val="both"/>
        <w:rPr>
          <w:rFonts w:hint="eastAsia" w:ascii="仿宋_GB2312" w:hAnsi="仿宋_GB2312" w:eastAsia="仿宋_GB2312" w:cs="仿宋_GB2312"/>
          <w:b w:val="0"/>
          <w:bCs w:val="0"/>
          <w:kern w:val="0"/>
          <w:sz w:val="32"/>
          <w:szCs w:val="32"/>
        </w:rPr>
      </w:pPr>
      <w:r>
        <w:rPr>
          <w:rFonts w:hint="eastAsia" w:ascii="仿宋_GB2312" w:hAnsi="仿宋_GB2312" w:eastAsia="仿宋_GB2312" w:cs="仿宋_GB2312"/>
          <w:b w:val="0"/>
          <w:bCs w:val="0"/>
          <w:kern w:val="0"/>
          <w:sz w:val="32"/>
          <w:szCs w:val="32"/>
          <w:lang w:val="en-US" w:eastAsia="zh-CN"/>
        </w:rPr>
        <w:t xml:space="preserve">          </w:t>
      </w: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b w:val="0"/>
          <w:bCs w:val="0"/>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b w:val="0"/>
          <w:bCs w:val="0"/>
          <w:kern w:val="0"/>
          <w:sz w:val="32"/>
          <w:szCs w:val="32"/>
          <w:lang w:val="en-US" w:eastAsia="zh-CN"/>
        </w:rPr>
      </w:pPr>
      <w:bookmarkStart w:id="241" w:name="_GoBack"/>
      <w:bookmarkEnd w:id="241"/>
    </w:p>
    <w:p>
      <w:pPr>
        <w:pStyle w:val="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0"/>
        <w:jc w:val="both"/>
        <w:textAlignment w:val="auto"/>
        <w:outlineLvl w:val="9"/>
        <w:rPr>
          <w:rFonts w:hint="eastAsia" w:ascii="仿宋_GB2312" w:hAnsi="仿宋_GB2312" w:eastAsia="仿宋_GB2312" w:cs="仿宋_GB2312"/>
          <w:b w:val="0"/>
          <w:bCs w:val="0"/>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自治区农业农村厅    自治区发展和改革   自治区科学技术厅                      </w:t>
      </w: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                    委</w:t>
      </w:r>
      <w:r>
        <w:rPr>
          <w:rFonts w:hint="eastAsia" w:ascii="仿宋_GB2312" w:hAnsi="仿宋_GB2312" w:eastAsia="仿宋_GB2312" w:cs="仿宋_GB2312"/>
          <w:b w:val="0"/>
          <w:bCs w:val="0"/>
          <w:w w:val="90"/>
          <w:kern w:val="0"/>
          <w:sz w:val="32"/>
          <w:szCs w:val="32"/>
          <w:lang w:val="en-US" w:eastAsia="zh-CN"/>
        </w:rPr>
        <w:t xml:space="preserve"> </w:t>
      </w:r>
      <w:r>
        <w:rPr>
          <w:rFonts w:hint="eastAsia" w:ascii="仿宋_GB2312" w:hAnsi="仿宋_GB2312" w:eastAsia="仿宋_GB2312" w:cs="仿宋_GB2312"/>
          <w:b w:val="0"/>
          <w:bCs w:val="0"/>
          <w:kern w:val="0"/>
          <w:sz w:val="32"/>
          <w:szCs w:val="32"/>
          <w:lang w:val="en-US" w:eastAsia="zh-CN"/>
        </w:rPr>
        <w:t xml:space="preserve">    员     会    </w:t>
      </w: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740" w:lineRule="exact"/>
        <w:ind w:left="0" w:leftChars="0" w:right="0" w:rightChars="0" w:firstLine="0" w:firstLineChars="0"/>
        <w:jc w:val="both"/>
        <w:textAlignment w:val="auto"/>
        <w:outlineLvl w:val="9"/>
        <w:rPr>
          <w:rFonts w:hint="eastAsia" w:ascii="仿宋_GB2312" w:hAnsi="仿宋_GB2312" w:eastAsia="仿宋_GB2312" w:cs="仿宋_GB2312"/>
          <w:b w:val="0"/>
          <w:bCs w:val="0"/>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 自治区财政厅       自治区自然资源厅   自治区生态环境厅</w:t>
      </w: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kern w:val="0"/>
          <w:sz w:val="32"/>
          <w:szCs w:val="32"/>
          <w:lang w:val="en-US" w:eastAsia="zh-CN"/>
        </w:rPr>
      </w:pP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                                自治区林业和草原局</w:t>
      </w:r>
    </w:p>
    <w:p>
      <w:pPr>
        <w:pStyle w:val="2"/>
        <w:keepNext w:val="0"/>
        <w:keepLines w:val="0"/>
        <w:pageBreakBefore w:val="0"/>
        <w:widowControl w:val="0"/>
        <w:kinsoku/>
        <w:wordWrap/>
        <w:overflowPunct/>
        <w:topLinePunct w:val="0"/>
        <w:autoSpaceDE/>
        <w:autoSpaceDN/>
        <w:bidi w:val="0"/>
        <w:adjustRightInd/>
        <w:snapToGrid/>
        <w:spacing w:line="560" w:lineRule="exact"/>
        <w:ind w:right="0" w:rightChars="0"/>
        <w:jc w:val="both"/>
        <w:textAlignment w:val="auto"/>
        <w:outlineLvl w:val="9"/>
        <w:rPr>
          <w:rFonts w:hint="eastAsia" w:ascii="仿宋_GB2312" w:hAnsi="仿宋_GB2312" w:eastAsia="仿宋_GB2312" w:cs="仿宋_GB2312"/>
          <w:b w:val="0"/>
          <w:bCs w:val="0"/>
          <w:kern w:val="0"/>
          <w:sz w:val="32"/>
          <w:szCs w:val="32"/>
          <w:lang w:val="en-US" w:eastAsia="zh-CN"/>
        </w:rPr>
      </w:pPr>
      <w:r>
        <w:rPr>
          <w:rFonts w:hint="eastAsia" w:ascii="仿宋_GB2312" w:hAnsi="仿宋_GB2312" w:eastAsia="仿宋_GB2312" w:cs="仿宋_GB2312"/>
          <w:b w:val="0"/>
          <w:bCs w:val="0"/>
          <w:kern w:val="0"/>
          <w:sz w:val="32"/>
          <w:szCs w:val="32"/>
          <w:lang w:val="en-US" w:eastAsia="zh-CN"/>
        </w:rPr>
        <w:t xml:space="preserve">                               </w:t>
      </w:r>
      <w:r>
        <w:rPr>
          <w:rFonts w:hint="default" w:ascii="Times New Roman" w:hAnsi="Times New Roman" w:eastAsia="仿宋_GB2312" w:cs="Times New Roman"/>
          <w:b w:val="0"/>
          <w:bCs w:val="0"/>
          <w:kern w:val="0"/>
          <w:sz w:val="32"/>
          <w:szCs w:val="32"/>
          <w:lang w:val="en-US" w:eastAsia="zh-CN"/>
        </w:rPr>
        <w:t xml:space="preserve">  </w:t>
      </w:r>
      <w:r>
        <w:rPr>
          <w:rFonts w:hint="default" w:ascii="Times New Roman" w:hAnsi="Times New Roman" w:eastAsia="仿宋_GB2312" w:cs="Times New Roman"/>
          <w:b w:val="0"/>
          <w:bCs w:val="0"/>
          <w:w w:val="66"/>
          <w:kern w:val="0"/>
          <w:sz w:val="32"/>
          <w:szCs w:val="32"/>
          <w:lang w:val="en-US" w:eastAsia="zh-CN"/>
        </w:rPr>
        <w:t xml:space="preserve"> </w:t>
      </w:r>
      <w:r>
        <w:rPr>
          <w:rFonts w:hint="default" w:ascii="Times New Roman" w:hAnsi="Times New Roman" w:eastAsia="仿宋_GB2312" w:cs="Times New Roman"/>
          <w:b w:val="0"/>
          <w:bCs w:val="0"/>
          <w:kern w:val="0"/>
          <w:sz w:val="32"/>
          <w:szCs w:val="32"/>
          <w:lang w:val="en-US" w:eastAsia="zh-CN"/>
        </w:rPr>
        <w:t>2022</w:t>
      </w:r>
      <w:r>
        <w:rPr>
          <w:rFonts w:hint="eastAsia" w:ascii="仿宋_GB2312" w:hAnsi="仿宋_GB2312" w:eastAsia="仿宋_GB2312" w:cs="仿宋_GB2312"/>
          <w:b w:val="0"/>
          <w:bCs w:val="0"/>
          <w:kern w:val="0"/>
          <w:sz w:val="32"/>
          <w:szCs w:val="32"/>
          <w:lang w:val="en-US" w:eastAsia="zh-CN"/>
        </w:rPr>
        <w:t>年</w:t>
      </w:r>
      <w:r>
        <w:rPr>
          <w:rFonts w:hint="eastAsia" w:ascii="Times New Roman" w:hAnsi="Times New Roman" w:eastAsia="仿宋_GB2312" w:cs="Times New Roman"/>
          <w:b w:val="0"/>
          <w:bCs w:val="0"/>
          <w:kern w:val="0"/>
          <w:sz w:val="32"/>
          <w:szCs w:val="32"/>
          <w:lang w:val="en-US" w:eastAsia="zh-CN"/>
        </w:rPr>
        <w:t>4</w:t>
      </w:r>
      <w:r>
        <w:rPr>
          <w:rFonts w:hint="eastAsia" w:ascii="仿宋_GB2312" w:hAnsi="仿宋_GB2312" w:eastAsia="仿宋_GB2312" w:cs="仿宋_GB2312"/>
          <w:b w:val="0"/>
          <w:bCs w:val="0"/>
          <w:kern w:val="0"/>
          <w:sz w:val="32"/>
          <w:szCs w:val="32"/>
          <w:lang w:val="en-US" w:eastAsia="zh-CN"/>
        </w:rPr>
        <w:t>月</w:t>
      </w:r>
      <w:r>
        <w:rPr>
          <w:rFonts w:hint="eastAsia" w:ascii="Times New Roman" w:hAnsi="Times New Roman" w:eastAsia="仿宋_GB2312" w:cs="Times New Roman"/>
          <w:b w:val="0"/>
          <w:bCs w:val="0"/>
          <w:kern w:val="0"/>
          <w:sz w:val="32"/>
          <w:szCs w:val="32"/>
          <w:lang w:val="en-US" w:eastAsia="zh-CN"/>
        </w:rPr>
        <w:t>18</w:t>
      </w:r>
      <w:r>
        <w:rPr>
          <w:rFonts w:hint="eastAsia" w:ascii="仿宋_GB2312" w:hAnsi="仿宋_GB2312" w:eastAsia="仿宋_GB2312" w:cs="仿宋_GB2312"/>
          <w:b w:val="0"/>
          <w:bCs w:val="0"/>
          <w:kern w:val="0"/>
          <w:sz w:val="32"/>
          <w:szCs w:val="32"/>
          <w:lang w:val="en-US" w:eastAsia="zh-CN"/>
        </w:rPr>
        <w:t>日</w:t>
      </w:r>
    </w:p>
    <w:p>
      <w:pPr>
        <w:autoSpaceDE w:val="0"/>
        <w:autoSpaceDN w:val="0"/>
        <w:adjustRightInd w:val="0"/>
        <w:spacing w:line="600" w:lineRule="exact"/>
        <w:jc w:val="both"/>
        <w:rPr>
          <w:rFonts w:hint="eastAsia" w:ascii="黑体" w:hAnsi="黑体" w:eastAsia="黑体" w:cs="黑体"/>
          <w:bCs/>
          <w:kern w:val="0"/>
          <w:sz w:val="32"/>
          <w:szCs w:val="32"/>
          <w:lang w:eastAsia="zh-CN"/>
        </w:rPr>
      </w:pPr>
    </w:p>
    <w:p>
      <w:pPr>
        <w:autoSpaceDE w:val="0"/>
        <w:autoSpaceDN w:val="0"/>
        <w:adjustRightInd w:val="0"/>
        <w:spacing w:line="600" w:lineRule="exact"/>
        <w:jc w:val="both"/>
        <w:rPr>
          <w:rFonts w:hint="eastAsia" w:ascii="黑体" w:hAnsi="黑体" w:eastAsia="黑体" w:cs="黑体"/>
          <w:bCs/>
          <w:kern w:val="0"/>
          <w:sz w:val="32"/>
          <w:szCs w:val="32"/>
          <w:lang w:val="en-US" w:eastAsia="zh-CN"/>
        </w:rPr>
      </w:pPr>
      <w:r>
        <w:rPr>
          <w:rFonts w:hint="eastAsia" w:ascii="黑体" w:hAnsi="黑体" w:eastAsia="黑体" w:cs="黑体"/>
          <w:bCs/>
          <w:kern w:val="0"/>
          <w:sz w:val="32"/>
          <w:szCs w:val="32"/>
          <w:lang w:eastAsia="zh-CN"/>
        </w:rPr>
        <w:t>附件</w:t>
      </w:r>
    </w:p>
    <w:p>
      <w:pPr>
        <w:pStyle w:val="2"/>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hint="eastAsia" w:ascii="方正小标宋简体" w:hAnsi="方正小标宋_GBK" w:eastAsia="方正小标宋简体" w:cs="方正小标宋_GBK"/>
          <w:bCs/>
          <w:spacing w:val="0"/>
          <w:sz w:val="44"/>
          <w:szCs w:val="44"/>
        </w:rPr>
      </w:pPr>
      <w:bookmarkStart w:id="0" w:name="_Toc24004"/>
      <w:bookmarkStart w:id="1" w:name="_Toc27743"/>
      <w:bookmarkStart w:id="2" w:name="_Toc47634554"/>
      <w:bookmarkStart w:id="3" w:name="_Toc26948"/>
      <w:bookmarkStart w:id="4" w:name="_Toc9449"/>
      <w:bookmarkStart w:id="5" w:name="_Toc10455"/>
      <w:r>
        <w:rPr>
          <w:rFonts w:hint="eastAsia" w:ascii="方正小标宋简体" w:hAnsi="方正小标宋_GBK" w:eastAsia="方正小标宋简体" w:cs="方正小标宋_GBK"/>
          <w:bCs/>
          <w:spacing w:val="0"/>
          <w:sz w:val="44"/>
          <w:szCs w:val="44"/>
        </w:rPr>
        <w:t>宁夏回族自治区农业绿色发展“十四五”</w:t>
      </w:r>
    </w:p>
    <w:p>
      <w:pPr>
        <w:keepNext w:val="0"/>
        <w:keepLines w:val="0"/>
        <w:pageBreakBefore w:val="0"/>
        <w:widowControl w:val="0"/>
        <w:kinsoku/>
        <w:wordWrap/>
        <w:overflowPunct/>
        <w:topLinePunct w:val="0"/>
        <w:autoSpaceDE/>
        <w:autoSpaceDN/>
        <w:bidi w:val="0"/>
        <w:adjustRightInd/>
        <w:snapToGrid/>
        <w:spacing w:line="640" w:lineRule="exact"/>
        <w:ind w:left="0" w:leftChars="0" w:right="0" w:rightChars="0" w:firstLine="0" w:firstLineChars="0"/>
        <w:jc w:val="center"/>
        <w:textAlignment w:val="auto"/>
        <w:outlineLvl w:val="9"/>
        <w:rPr>
          <w:rFonts w:ascii="方正小标宋简体" w:hAnsi="方正小标宋_GBK" w:eastAsia="方正小标宋简体" w:cs="方正小标宋_GBK"/>
          <w:bCs/>
          <w:sz w:val="44"/>
          <w:szCs w:val="44"/>
        </w:rPr>
      </w:pPr>
      <w:r>
        <w:rPr>
          <w:rFonts w:hint="eastAsia" w:ascii="方正小标宋简体" w:hAnsi="方正小标宋_GBK" w:eastAsia="方正小标宋简体" w:cs="方正小标宋_GBK"/>
          <w:bCs/>
          <w:spacing w:val="0"/>
          <w:sz w:val="44"/>
          <w:szCs w:val="44"/>
        </w:rPr>
        <w:t>规划</w:t>
      </w:r>
      <w:bookmarkStart w:id="6" w:name="_Toc30480"/>
      <w:bookmarkStart w:id="7" w:name="_Toc216"/>
      <w:bookmarkStart w:id="8" w:name="_Toc47634552"/>
      <w:bookmarkStart w:id="9" w:name="_Toc20079"/>
      <w:r>
        <w:rPr>
          <w:rFonts w:hint="eastAsia" w:ascii="方正小标宋简体" w:hAnsi="方正小标宋_GBK" w:eastAsia="方正小标宋简体" w:cs="方正小标宋_GBK"/>
          <w:bCs/>
          <w:sz w:val="44"/>
          <w:szCs w:val="44"/>
        </w:rPr>
        <w:t>（2021-2025年）</w:t>
      </w:r>
      <w:bookmarkEnd w:id="6"/>
      <w:bookmarkEnd w:id="7"/>
      <w:bookmarkEnd w:id="8"/>
      <w:bookmarkEnd w:id="9"/>
    </w:p>
    <w:bookmarkEnd w:id="0"/>
    <w:bookmarkEnd w:id="1"/>
    <w:bookmarkEnd w:id="2"/>
    <w:bookmarkEnd w:id="3"/>
    <w:bookmarkEnd w:id="4"/>
    <w:bookmarkEnd w:id="5"/>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color w:val="auto"/>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宋体" w:eastAsia="仿宋_GB2312" w:cs="宋体"/>
          <w:color w:val="auto"/>
          <w:sz w:val="32"/>
          <w:szCs w:val="32"/>
        </w:rPr>
      </w:pPr>
      <w:r>
        <w:rPr>
          <w:rFonts w:hint="eastAsia" w:ascii="仿宋_GB2312" w:hAnsi="宋体" w:eastAsia="仿宋_GB2312" w:cs="宋体"/>
          <w:color w:val="auto"/>
          <w:sz w:val="32"/>
          <w:szCs w:val="32"/>
        </w:rPr>
        <w:t>为认真贯彻落实习近平总书记视察宁夏重要讲话精神，扎实推进黄河流域生态保护和高质量发展先行区建设，全力推动国家农业绿色发展先行区建设，依据</w:t>
      </w:r>
      <w:r>
        <w:rPr>
          <w:rFonts w:hint="eastAsia" w:ascii="仿宋_GB2312" w:hAnsi="仿宋_GB2312" w:eastAsia="仿宋_GB2312" w:cs="仿宋_GB2312"/>
          <w:sz w:val="32"/>
          <w:szCs w:val="32"/>
        </w:rPr>
        <w:t>《“十四五”全国农业绿色发展规划》</w:t>
      </w:r>
      <w:r>
        <w:rPr>
          <w:rFonts w:hint="eastAsia" w:ascii="仿宋_GB2312" w:hAnsi="宋体" w:eastAsia="仿宋_GB2312" w:cs="宋体"/>
          <w:color w:val="000000" w:themeColor="text1"/>
          <w:sz w:val="32"/>
          <w:szCs w:val="32"/>
          <w:lang w:eastAsia="zh-CN"/>
          <w14:textFill>
            <w14:solidFill>
              <w14:schemeClr w14:val="tx1"/>
            </w14:solidFill>
          </w14:textFill>
        </w:rPr>
        <w:t>《</w:t>
      </w:r>
      <w:r>
        <w:rPr>
          <w:rFonts w:hint="eastAsia" w:ascii="仿宋_GB2312" w:hAnsi="宋体" w:eastAsia="仿宋_GB2312" w:cs="宋体"/>
          <w:color w:val="000000" w:themeColor="text1"/>
          <w:sz w:val="32"/>
          <w:szCs w:val="32"/>
          <w:lang w:val="en-US" w:eastAsia="zh-CN"/>
          <w14:textFill>
            <w14:solidFill>
              <w14:schemeClr w14:val="tx1"/>
            </w14:solidFill>
          </w14:textFill>
        </w:rPr>
        <w:t>关于同意宁夏回族自治区建设国家农业绿色发展先行区的函</w:t>
      </w:r>
      <w:r>
        <w:rPr>
          <w:rFonts w:hint="eastAsia" w:ascii="仿宋_GB2312" w:hAnsi="宋体" w:eastAsia="仿宋_GB2312" w:cs="宋体"/>
          <w:color w:val="auto"/>
          <w:sz w:val="32"/>
          <w:szCs w:val="32"/>
          <w:lang w:eastAsia="zh-CN"/>
        </w:rPr>
        <w:t>》</w:t>
      </w:r>
      <w:r>
        <w:rPr>
          <w:rFonts w:hint="eastAsia" w:ascii="仿宋_GB2312" w:hAnsi="仿宋_GB2312" w:eastAsia="仿宋_GB2312" w:cs="仿宋_GB2312"/>
          <w:color w:val="auto"/>
          <w:sz w:val="32"/>
          <w:szCs w:val="32"/>
        </w:rPr>
        <w:t>《宁夏回族自治区国民经济和社会发展第十四个五年规划和</w:t>
      </w:r>
      <w:r>
        <w:rPr>
          <w:rFonts w:hint="default" w:ascii="Times New Roman" w:hAnsi="Times New Roman" w:eastAsia="仿宋_GB2312" w:cs="Times New Roman"/>
          <w:color w:val="auto"/>
          <w:sz w:val="32"/>
          <w:szCs w:val="32"/>
          <w:lang w:val="en-US" w:eastAsia="zh-CN"/>
        </w:rPr>
        <w:t>2035</w:t>
      </w:r>
      <w:r>
        <w:rPr>
          <w:rFonts w:hint="eastAsia" w:ascii="仿宋_GB2312" w:hAnsi="仿宋_GB2312" w:eastAsia="仿宋_GB2312" w:cs="仿宋_GB2312"/>
          <w:color w:val="auto"/>
          <w:sz w:val="32"/>
          <w:szCs w:val="32"/>
        </w:rPr>
        <w:t>年远景目标纲要》</w:t>
      </w:r>
      <w:r>
        <w:rPr>
          <w:rFonts w:hint="eastAsia" w:ascii="仿宋_GB2312" w:hAnsi="宋体" w:eastAsia="仿宋_GB2312" w:cs="宋体"/>
          <w:color w:val="auto"/>
          <w:sz w:val="32"/>
          <w:szCs w:val="32"/>
        </w:rPr>
        <w:t>《中共宁夏回族自治区委员会关于建设黄河流域生态保护和高质量发展先行区的实施意见》</w:t>
      </w:r>
      <w:r>
        <w:rPr>
          <w:rFonts w:hint="eastAsia" w:ascii="仿宋_GB2312" w:hAnsi="仿宋_GB2312" w:eastAsia="仿宋_GB2312" w:cs="仿宋_GB2312"/>
          <w:color w:val="auto"/>
          <w:sz w:val="32"/>
          <w:szCs w:val="32"/>
        </w:rPr>
        <w:t>《宁夏回族自治区农业农村现代化发展“十四五”规划》</w:t>
      </w:r>
      <w:r>
        <w:rPr>
          <w:rFonts w:hint="eastAsia" w:ascii="仿宋_GB2312" w:hAnsi="宋体" w:eastAsia="仿宋_GB2312" w:cs="宋体"/>
          <w:color w:val="auto"/>
          <w:sz w:val="32"/>
          <w:szCs w:val="32"/>
        </w:rPr>
        <w:t>等相关要求，特编制本规划。</w:t>
      </w:r>
      <w:bookmarkStart w:id="10" w:name="_Toc29672"/>
      <w:bookmarkStart w:id="11" w:name="_Toc64884469"/>
      <w:bookmarkStart w:id="12" w:name="_Toc47634555"/>
      <w:bookmarkStart w:id="13" w:name="_Toc29298"/>
      <w:bookmarkStart w:id="14" w:name="_Toc31414"/>
      <w:bookmarkStart w:id="15" w:name="_Toc10203422"/>
      <w:bookmarkStart w:id="16" w:name="_Toc7575"/>
      <w:bookmarkStart w:id="17" w:name="_Toc654"/>
      <w:bookmarkStart w:id="18" w:name="_Toc19783"/>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sz w:val="32"/>
          <w:szCs w:val="32"/>
        </w:rPr>
      </w:pPr>
      <w:r>
        <w:rPr>
          <w:rFonts w:hint="eastAsia" w:ascii="黑体" w:hAnsi="黑体" w:eastAsia="黑体" w:cs="黑体"/>
          <w:sz w:val="32"/>
          <w:szCs w:val="32"/>
        </w:rPr>
        <w:t xml:space="preserve">第一章 </w:t>
      </w:r>
      <w:bookmarkEnd w:id="10"/>
      <w:bookmarkEnd w:id="11"/>
      <w:bookmarkEnd w:id="12"/>
      <w:bookmarkEnd w:id="13"/>
      <w:bookmarkEnd w:id="14"/>
      <w:bookmarkEnd w:id="15"/>
      <w:bookmarkEnd w:id="16"/>
      <w:bookmarkEnd w:id="17"/>
      <w:r>
        <w:rPr>
          <w:rFonts w:hint="eastAsia" w:ascii="黑体" w:hAnsi="黑体" w:eastAsia="黑体" w:cs="黑体"/>
          <w:sz w:val="32"/>
          <w:szCs w:val="32"/>
        </w:rPr>
        <w:t>规划背景</w:t>
      </w:r>
      <w:bookmarkEnd w:id="18"/>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楷体_GB2312" w:hAnsi="楷体_GB2312" w:eastAsia="楷体_GB2312" w:cs="楷体_GB2312"/>
          <w:b/>
          <w:bCs/>
          <w:sz w:val="32"/>
          <w:szCs w:val="32"/>
        </w:rPr>
      </w:pPr>
      <w:bookmarkStart w:id="19" w:name="_Toc2771"/>
      <w:bookmarkStart w:id="20" w:name="_Toc31548"/>
      <w:bookmarkStart w:id="21" w:name="_Toc47634556"/>
      <w:bookmarkStart w:id="22" w:name="_Toc7889"/>
      <w:bookmarkStart w:id="23" w:name="_Toc31499"/>
      <w:bookmarkStart w:id="24" w:name="_Toc8696"/>
      <w:bookmarkStart w:id="25" w:name="_Toc10203423"/>
      <w:bookmarkStart w:id="26" w:name="_Toc18103"/>
      <w:bookmarkStart w:id="27" w:name="_Toc10203426"/>
      <w:r>
        <w:rPr>
          <w:rFonts w:hint="eastAsia" w:ascii="楷体_GB2312" w:hAnsi="楷体_GB2312" w:eastAsia="楷体_GB2312" w:cs="楷体_GB2312"/>
          <w:b/>
          <w:bCs/>
          <w:sz w:val="32"/>
          <w:szCs w:val="32"/>
          <w:lang w:eastAsia="zh-CN"/>
        </w:rPr>
        <w:t>第一节</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重要意义</w:t>
      </w:r>
      <w:bookmarkEnd w:id="19"/>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仿宋_GB2312" w:hAnsi="宋体" w:eastAsia="仿宋_GB2312" w:cs="宋体"/>
          <w:sz w:val="32"/>
          <w:szCs w:val="32"/>
        </w:rPr>
      </w:pPr>
      <w:r>
        <w:rPr>
          <w:rFonts w:hint="eastAsia" w:ascii="仿宋_GB2312" w:hAnsi="宋体" w:eastAsia="仿宋_GB2312" w:cs="宋体"/>
          <w:sz w:val="32"/>
          <w:szCs w:val="32"/>
        </w:rPr>
        <w:t>绿色是农业的底色，良好生态环境是最普惠的民生福祉、农村最大优势和宝贵财富，加快推进农业绿色发展意义重大。</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sz w:val="32"/>
          <w:szCs w:val="32"/>
        </w:rPr>
      </w:pPr>
      <w:r>
        <w:rPr>
          <w:rFonts w:hint="eastAsia" w:ascii="仿宋_GB2312" w:hAnsi="仿宋_GB2312" w:eastAsia="仿宋_GB2312" w:cs="仿宋_GB2312"/>
          <w:b w:val="0"/>
          <w:bCs/>
          <w:sz w:val="32"/>
          <w:szCs w:val="32"/>
        </w:rPr>
        <w:t>贯彻落实习近平生态文明思想的具体体现。</w:t>
      </w:r>
      <w:r>
        <w:rPr>
          <w:rFonts w:hint="eastAsia" w:ascii="仿宋_GB2312" w:hAnsi="仿宋_GB2312" w:eastAsia="仿宋_GB2312" w:cs="仿宋_GB2312"/>
          <w:b w:val="0"/>
          <w:bCs/>
          <w:sz w:val="32"/>
          <w:szCs w:val="32"/>
          <w:lang w:eastAsia="zh-CN"/>
        </w:rPr>
        <w:t>农业绿色发展是生态文明建设的重要组成部分</w:t>
      </w:r>
      <w:r>
        <w:rPr>
          <w:rFonts w:hint="eastAsia" w:ascii="仿宋_GB2312" w:hAnsi="仿宋_GB2312" w:eastAsia="仿宋_GB2312" w:cs="仿宋_GB2312"/>
          <w:b w:val="0"/>
          <w:bCs/>
          <w:sz w:val="32"/>
          <w:szCs w:val="32"/>
        </w:rPr>
        <w:t>。</w:t>
      </w:r>
      <w:r>
        <w:rPr>
          <w:rFonts w:hint="eastAsia"/>
          <w:sz w:val="32"/>
          <w:szCs w:val="32"/>
        </w:rPr>
        <w:t>习近平总书记</w:t>
      </w:r>
      <w:r>
        <w:rPr>
          <w:rFonts w:hint="eastAsia"/>
          <w:sz w:val="32"/>
          <w:szCs w:val="32"/>
          <w:lang w:eastAsia="zh-CN"/>
        </w:rPr>
        <w:t>视察</w:t>
      </w:r>
      <w:r>
        <w:rPr>
          <w:rFonts w:hint="eastAsia"/>
          <w:sz w:val="32"/>
          <w:szCs w:val="32"/>
        </w:rPr>
        <w:t>宁夏时强调，宁夏要努力建设黄河流域生态保护和高质量发展先行区，是着眼于宁夏在黄河流域的生态定位、在国家发展大局中的生态地位，赋予宁夏的重大战略任务、重大历史使命和重大发展要求，具有重大的方向性、前瞻性、战略性和指导性意义。</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sz w:val="32"/>
          <w:szCs w:val="32"/>
        </w:rPr>
      </w:pPr>
      <w:r>
        <w:rPr>
          <w:rFonts w:hint="eastAsia" w:ascii="仿宋_GB2312" w:hAnsi="仿宋_GB2312" w:eastAsia="仿宋_GB2312" w:cs="仿宋_GB2312"/>
          <w:b w:val="0"/>
          <w:bCs/>
          <w:sz w:val="32"/>
          <w:szCs w:val="32"/>
        </w:rPr>
        <w:t>满足人民美好生活期盼的迫切要求。</w:t>
      </w:r>
      <w:r>
        <w:rPr>
          <w:rFonts w:hint="eastAsia"/>
          <w:sz w:val="32"/>
          <w:szCs w:val="32"/>
        </w:rPr>
        <w:t>人民对美好生活的向往，就是我们的奋斗目标。当前，农业发展正从数量扩张向质量提升转变，做优、做精、做特产业，让宁夏优质粮食、瓜果蔬菜等产业更“绿色”，葡萄酒、枸杞产业更“红火”，肉牛、奶牛产业更“牛劲”，滩羊产业更“洋气”，更多特色农产品走向绿色化、高质化，以适应人民对绿色、安全农产品的需求。</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sz w:val="32"/>
          <w:szCs w:val="32"/>
        </w:rPr>
      </w:pPr>
      <w:r>
        <w:rPr>
          <w:rFonts w:hint="eastAsia" w:ascii="仿宋_GB2312" w:hAnsi="仿宋_GB2312" w:eastAsia="仿宋_GB2312" w:cs="仿宋_GB2312"/>
          <w:b w:val="0"/>
          <w:bCs/>
          <w:sz w:val="32"/>
          <w:szCs w:val="32"/>
        </w:rPr>
        <w:t>全面推进乡村振兴的必然选择。</w:t>
      </w:r>
      <w:r>
        <w:rPr>
          <w:rFonts w:hint="eastAsia"/>
          <w:sz w:val="32"/>
          <w:szCs w:val="32"/>
        </w:rPr>
        <w:t>乡村振兴，生态宜</w:t>
      </w:r>
      <w:r>
        <w:rPr>
          <w:rFonts w:hint="eastAsia"/>
          <w:sz w:val="32"/>
          <w:szCs w:val="32"/>
          <w:lang w:eastAsia="zh-CN"/>
        </w:rPr>
        <w:t>居</w:t>
      </w:r>
      <w:r>
        <w:rPr>
          <w:rFonts w:hint="eastAsia"/>
          <w:sz w:val="32"/>
          <w:szCs w:val="32"/>
        </w:rPr>
        <w:t>是关键。坚持以生态环境友好和资源永续利用为导向，推动形成农业绿色生产方式，加快建立绿色低碳循环农业产业体系，加强农业面源污染治理，推进农业农村减排固碳，改善农村生态环境，让良好生态成为乡村振兴支撑点、农业可持续发展的资源库</w:t>
      </w:r>
      <w:r>
        <w:rPr>
          <w:rFonts w:hint="eastAsia"/>
          <w:sz w:val="32"/>
          <w:szCs w:val="32"/>
          <w:lang w:eastAsia="zh-CN"/>
        </w:rPr>
        <w:t>。</w:t>
      </w:r>
      <w:r>
        <w:rPr>
          <w:rFonts w:hint="eastAsia"/>
          <w:sz w:val="32"/>
          <w:szCs w:val="32"/>
        </w:rPr>
        <w:t>大力推行绿色健康生活方式，以建设美丽宜居村庄为导向，</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以农村</w:t>
      </w:r>
      <w:r>
        <w:rPr>
          <w:rFonts w:hint="eastAsia" w:ascii="仿宋_GB2312" w:hAnsi="仿宋_GB2312" w:cs="仿宋_GB2312"/>
          <w:color w:val="000000" w:themeColor="text1"/>
          <w:spacing w:val="-6"/>
          <w:sz w:val="32"/>
          <w:szCs w:val="32"/>
          <w:lang w:eastAsia="zh-CN"/>
          <w14:textFill>
            <w14:solidFill>
              <w14:schemeClr w14:val="tx1"/>
            </w14:solidFill>
          </w14:textFill>
        </w:rPr>
        <w:t>厕所革命</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、生活污水垃圾治理</w:t>
      </w:r>
      <w:r>
        <w:rPr>
          <w:rFonts w:hint="eastAsia" w:ascii="仿宋_GB2312" w:hAnsi="仿宋_GB2312" w:cs="仿宋_GB2312"/>
          <w:color w:val="000000" w:themeColor="text1"/>
          <w:spacing w:val="-6"/>
          <w:sz w:val="32"/>
          <w:szCs w:val="32"/>
          <w:lang w:eastAsia="zh-CN"/>
          <w14:textFill>
            <w14:solidFill>
              <w14:schemeClr w14:val="tx1"/>
            </w14:solidFill>
          </w14:textFill>
        </w:rPr>
        <w:t>、</w:t>
      </w:r>
      <w:r>
        <w:rPr>
          <w:rFonts w:hint="eastAsia" w:ascii="仿宋_GB2312" w:hAnsi="仿宋_GB2312" w:eastAsia="仿宋_GB2312" w:cs="仿宋_GB2312"/>
          <w:color w:val="000000" w:themeColor="text1"/>
          <w:spacing w:val="-6"/>
          <w:sz w:val="32"/>
          <w:szCs w:val="32"/>
          <w:lang w:eastAsia="zh-CN"/>
          <w14:textFill>
            <w14:solidFill>
              <w14:schemeClr w14:val="tx1"/>
            </w14:solidFill>
          </w14:textFill>
        </w:rPr>
        <w:t>村容村貌提升为主攻方向</w:t>
      </w:r>
      <w:r>
        <w:rPr>
          <w:rFonts w:hint="eastAsia" w:ascii="仿宋_GB2312" w:hAnsi="仿宋_GB2312" w:cs="仿宋_GB2312"/>
          <w:color w:val="000000" w:themeColor="text1"/>
          <w:sz w:val="32"/>
          <w:szCs w:val="32"/>
          <w14:textFill>
            <w14:solidFill>
              <w14:schemeClr w14:val="tx1"/>
            </w14:solidFill>
          </w14:textFill>
        </w:rPr>
        <w:t>，</w:t>
      </w:r>
      <w:r>
        <w:rPr>
          <w:rFonts w:hint="eastAsia"/>
          <w:sz w:val="32"/>
          <w:szCs w:val="32"/>
        </w:rPr>
        <w:t>全面提升农村人居环境质量，为农业绿色发展提供了重大战略机遇。</w:t>
      </w:r>
      <w:bookmarkStart w:id="28" w:name="_Toc29995"/>
    </w:p>
    <w:p>
      <w:pPr>
        <w:pStyle w:val="5"/>
        <w:keepNext/>
        <w:keepLines/>
        <w:pageBreakBefore w:val="0"/>
        <w:widowControl w:val="0"/>
        <w:kinsoku/>
        <w:wordWrap/>
        <w:overflowPunct/>
        <w:topLinePunct w:val="0"/>
        <w:autoSpaceDE/>
        <w:autoSpaceDN/>
        <w:bidi w:val="0"/>
        <w:adjustRightInd/>
        <w:snapToGrid/>
        <w:spacing w:before="260" w:beforeLines="0" w:after="260" w:afterLines="0" w:line="240" w:lineRule="auto"/>
        <w:ind w:left="0" w:leftChars="0" w:right="0" w:rightChars="0" w:firstLine="0" w:firstLineChars="0"/>
        <w:jc w:val="center"/>
        <w:textAlignment w:val="auto"/>
        <w:outlineLvl w:val="2"/>
        <w:rPr>
          <w:rFonts w:hint="eastAsia" w:ascii="楷体_GB2312" w:hAnsi="楷体_GB2312" w:eastAsia="楷体_GB2312" w:cs="楷体_GB2312"/>
          <w:b/>
          <w:bCs w:val="0"/>
        </w:rPr>
      </w:pPr>
      <w:r>
        <w:rPr>
          <w:rFonts w:hint="eastAsia" w:ascii="楷体_GB2312" w:hAnsi="楷体_GB2312" w:eastAsia="楷体_GB2312" w:cs="楷体_GB2312"/>
          <w:b/>
          <w:bCs w:val="0"/>
          <w:lang w:eastAsia="zh-CN"/>
        </w:rPr>
        <w:t>第二节</w:t>
      </w:r>
      <w:r>
        <w:rPr>
          <w:rFonts w:hint="eastAsia" w:ascii="楷体_GB2312" w:hAnsi="楷体_GB2312" w:eastAsia="楷体_GB2312" w:cs="楷体_GB2312"/>
          <w:b/>
          <w:bCs w:val="0"/>
          <w:lang w:val="en-US" w:eastAsia="zh-CN"/>
        </w:rPr>
        <w:t xml:space="preserve"> </w:t>
      </w:r>
      <w:r>
        <w:rPr>
          <w:rFonts w:hint="eastAsia" w:ascii="楷体_GB2312" w:hAnsi="楷体_GB2312" w:eastAsia="楷体_GB2312" w:cs="楷体_GB2312"/>
          <w:b/>
          <w:bCs w:val="0"/>
        </w:rPr>
        <w:t>发展基础</w:t>
      </w:r>
      <w:bookmarkEnd w:id="28"/>
    </w:p>
    <w:bookmarkEnd w:id="20"/>
    <w:bookmarkEnd w:id="21"/>
    <w:bookmarkEnd w:id="22"/>
    <w:bookmarkEnd w:id="23"/>
    <w:bookmarkEnd w:id="24"/>
    <w:bookmarkEnd w:id="25"/>
    <w:bookmarkEnd w:id="26"/>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sz w:val="32"/>
          <w:szCs w:val="32"/>
        </w:rPr>
      </w:pPr>
      <w:r>
        <w:rPr>
          <w:rFonts w:hint="eastAsia"/>
          <w:sz w:val="32"/>
          <w:szCs w:val="32"/>
        </w:rPr>
        <w:t>党的十八大以来，宁夏坚持生态优先、系统治理、绿色发展理念，大力推进质量兴农、绿色兴农、品牌强农，全面提高农业发展质量和水平，农业绿色发展格局逐步形成，高质量可持续发展能力稳步增强。</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sz w:val="32"/>
          <w:szCs w:val="32"/>
        </w:rPr>
      </w:pPr>
      <w:r>
        <w:rPr>
          <w:rFonts w:hint="eastAsia" w:ascii="仿宋_GB2312" w:hAnsi="仿宋_GB2312" w:eastAsia="仿宋_GB2312" w:cs="仿宋_GB2312"/>
          <w:b w:val="0"/>
          <w:bCs/>
          <w:sz w:val="32"/>
          <w:szCs w:val="32"/>
        </w:rPr>
        <w:t>农业绿色产业快速发展。</w:t>
      </w:r>
      <w:r>
        <w:rPr>
          <w:rFonts w:hint="eastAsia" w:ascii="楷体_GB2312" w:hAnsi="黑体" w:eastAsia="楷体_GB2312" w:cs="方正楷体_GBK"/>
          <w:sz w:val="32"/>
          <w:szCs w:val="32"/>
        </w:rPr>
        <w:t>“</w:t>
      </w:r>
      <w:r>
        <w:rPr>
          <w:rFonts w:hint="eastAsia"/>
          <w:sz w:val="32"/>
          <w:szCs w:val="32"/>
        </w:rPr>
        <w:t>十三五”期间，全区产业结构不</w:t>
      </w:r>
      <w:r>
        <w:rPr>
          <w:rFonts w:hint="eastAsia"/>
          <w:color w:val="auto"/>
          <w:sz w:val="32"/>
          <w:szCs w:val="32"/>
        </w:rPr>
        <w:t>断优化，现代畜牧业快速发展，特色优势产业进一步壮大，形成了以优质粮食、酿酒葡萄、现代畜牧、枸杞、瓜菜等为主导的产业格局，特色产值占农业总产值的比重达到88%</w:t>
      </w:r>
      <w:r>
        <w:rPr>
          <w:rFonts w:hint="eastAsia" w:hAnsiTheme="minorEastAsia" w:cstheme="minorEastAsia"/>
          <w:color w:val="auto"/>
          <w:sz w:val="32"/>
          <w:szCs w:val="32"/>
          <w:lang w:val="zh-CN"/>
        </w:rPr>
        <w:t>。产业融合加快推进，围绕全产</w:t>
      </w:r>
      <w:r>
        <w:rPr>
          <w:rFonts w:hint="eastAsia" w:hAnsiTheme="minorEastAsia" w:cstheme="minorEastAsia"/>
          <w:color w:val="auto"/>
          <w:sz w:val="32"/>
          <w:szCs w:val="32"/>
        </w:rPr>
        <w:t>业链培育壮大农业龙头企业，</w:t>
      </w:r>
      <w:r>
        <w:rPr>
          <w:rFonts w:hint="eastAsia" w:hAnsiTheme="minorEastAsia" w:cstheme="minorEastAsia"/>
          <w:color w:val="auto"/>
          <w:sz w:val="32"/>
          <w:szCs w:val="32"/>
          <w:lang w:val="zh-CN"/>
        </w:rPr>
        <w:t>推进农业生产、加工、流通一体化发展，农产品加工转化率达到70%，</w:t>
      </w:r>
      <w:r>
        <w:rPr>
          <w:rFonts w:hint="eastAsia"/>
          <w:color w:val="auto"/>
          <w:sz w:val="32"/>
          <w:szCs w:val="32"/>
        </w:rPr>
        <w:t>保障了优质特色农产品有效供给。</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cs="方正楷体_GBK"/>
          <w:b/>
          <w:bCs/>
          <w:sz w:val="32"/>
          <w:szCs w:val="32"/>
        </w:rPr>
      </w:pPr>
      <w:bookmarkStart w:id="29" w:name="_Toc4904"/>
      <w:bookmarkStart w:id="30" w:name="_Toc28376"/>
      <w:bookmarkStart w:id="31" w:name="_Toc17525"/>
      <w:bookmarkStart w:id="32" w:name="_Toc6955"/>
      <w:r>
        <w:rPr>
          <w:rFonts w:hint="eastAsia" w:ascii="仿宋_GB2312" w:hAnsi="仿宋_GB2312" w:eastAsia="仿宋_GB2312" w:cs="仿宋_GB2312"/>
          <w:b w:val="0"/>
          <w:bCs/>
          <w:sz w:val="32"/>
          <w:szCs w:val="32"/>
        </w:rPr>
        <w:t>农业资源保护有效加强。</w:t>
      </w:r>
      <w:r>
        <w:rPr>
          <w:rFonts w:hint="eastAsia"/>
          <w:sz w:val="32"/>
          <w:szCs w:val="32"/>
        </w:rPr>
        <w:t>大力开展耕地保护与质量提升行动，持续实施高标准农田建设、盐碱地改良、测土配方施肥、机械深松翻等示范项目，耕地质量稳步提升，建成高标准农田780万亩。持续推进农业节水，积极推广滴灌、管灌、集雨补灌、水肥一体化等高效节水灌溉技术，全区高效节水灌溉面积达到470万亩，农田灌溉水利用系数提高到0.55，农业节水成效显著。</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Ansi="宋体" w:cs="宋体"/>
          <w:sz w:val="32"/>
          <w:szCs w:val="32"/>
        </w:rPr>
      </w:pPr>
      <w:r>
        <w:rPr>
          <w:rFonts w:hint="eastAsia" w:ascii="仿宋_GB2312" w:hAnsi="仿宋_GB2312" w:eastAsia="仿宋_GB2312" w:cs="仿宋_GB2312"/>
          <w:b w:val="0"/>
          <w:bCs/>
          <w:sz w:val="32"/>
          <w:szCs w:val="32"/>
        </w:rPr>
        <w:t>农业</w:t>
      </w:r>
      <w:bookmarkEnd w:id="29"/>
      <w:bookmarkEnd w:id="30"/>
      <w:bookmarkEnd w:id="31"/>
      <w:bookmarkEnd w:id="32"/>
      <w:r>
        <w:rPr>
          <w:rFonts w:hint="eastAsia" w:ascii="仿宋_GB2312" w:hAnsi="仿宋_GB2312" w:eastAsia="仿宋_GB2312" w:cs="仿宋_GB2312"/>
          <w:b w:val="0"/>
          <w:bCs/>
          <w:sz w:val="32"/>
          <w:szCs w:val="32"/>
        </w:rPr>
        <w:t>产地环境持续改善。</w:t>
      </w:r>
      <w:r>
        <w:rPr>
          <w:rFonts w:hint="eastAsia" w:hAnsi="宋体" w:cs="宋体"/>
          <w:sz w:val="32"/>
          <w:szCs w:val="32"/>
        </w:rPr>
        <w:t>大力推行农业绿色生产方式，主要污染物减排超额完成国家下达任务，持续实施化肥农药使用减量增效行动，化肥、农药利用率分别达到40.1%、40.8%。积极推进农业废弃物资源化利用，畜禽粪污综合利用率达到90%，农作物秸秆综合利用率达到87.6%。全区农用残膜回收率达到85%。</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Ansi="宋体" w:cs="宋体"/>
          <w:sz w:val="32"/>
          <w:szCs w:val="32"/>
        </w:rPr>
      </w:pPr>
      <w:bookmarkStart w:id="33" w:name="_Toc28530"/>
      <w:bookmarkStart w:id="34" w:name="_Toc31422"/>
      <w:bookmarkStart w:id="35" w:name="_Toc20342"/>
      <w:bookmarkStart w:id="36" w:name="_Toc13737"/>
      <w:r>
        <w:rPr>
          <w:rFonts w:hint="eastAsia" w:ascii="仿宋_GB2312" w:hAnsi="仿宋_GB2312" w:eastAsia="仿宋_GB2312" w:cs="仿宋_GB2312"/>
          <w:b w:val="0"/>
          <w:bCs/>
          <w:sz w:val="32"/>
          <w:szCs w:val="32"/>
        </w:rPr>
        <w:t>农村人居环境整治扎实推进</w:t>
      </w:r>
      <w:bookmarkEnd w:id="33"/>
      <w:bookmarkEnd w:id="34"/>
      <w:bookmarkEnd w:id="35"/>
      <w:bookmarkEnd w:id="36"/>
      <w:r>
        <w:rPr>
          <w:rFonts w:hint="eastAsia" w:ascii="仿宋_GB2312" w:hAnsi="仿宋_GB2312" w:eastAsia="仿宋_GB2312" w:cs="仿宋_GB2312"/>
          <w:b w:val="0"/>
          <w:bCs/>
          <w:sz w:val="32"/>
          <w:szCs w:val="32"/>
        </w:rPr>
        <w:t>。</w:t>
      </w:r>
      <w:r>
        <w:rPr>
          <w:rFonts w:hint="eastAsia" w:hAnsi="宋体" w:cs="宋体"/>
          <w:sz w:val="32"/>
          <w:szCs w:val="32"/>
        </w:rPr>
        <w:t>大力推行“两次六分、四级联动”农村生活垃圾治理模式，推动村庄清洁行动常态化、制度化、持续化，人居环境整治长效管理机制、成本分担体制等初步建立。农村生活垃圾处理率达到90%。农村生活污水治理水平明显提升，农村生活污水治理率达到20.5%。农村厕所革命成效显著，农村卫生厕所普及率达到58%。</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Ansi="宋体" w:cs="宋体"/>
          <w:sz w:val="32"/>
          <w:szCs w:val="32"/>
        </w:rPr>
      </w:pPr>
      <w:r>
        <w:rPr>
          <w:rFonts w:hint="eastAsia" w:ascii="仿宋_GB2312" w:hAnsi="仿宋_GB2312" w:eastAsia="仿宋_GB2312" w:cs="仿宋_GB2312"/>
          <w:b w:val="0"/>
          <w:bCs/>
          <w:sz w:val="32"/>
          <w:szCs w:val="32"/>
        </w:rPr>
        <w:t>农产品质量水平明显提高。</w:t>
      </w:r>
      <w:r>
        <w:rPr>
          <w:rFonts w:hint="eastAsia" w:hAnsi="宋体" w:cs="宋体"/>
          <w:sz w:val="32"/>
          <w:szCs w:val="32"/>
        </w:rPr>
        <w:t>积极推进农业标准化生产，</w:t>
      </w:r>
      <w:r>
        <w:rPr>
          <w:rFonts w:hint="eastAsia" w:hAnsi="宋体" w:cs="宋体"/>
          <w:sz w:val="32"/>
          <w:szCs w:val="32"/>
          <w:lang w:eastAsia="zh-CN"/>
        </w:rPr>
        <w:t>每年</w:t>
      </w:r>
      <w:r>
        <w:rPr>
          <w:rFonts w:hint="eastAsia" w:hAnsi="宋体" w:cs="宋体"/>
          <w:sz w:val="32"/>
          <w:szCs w:val="32"/>
        </w:rPr>
        <w:t>制修订农业地方标准</w:t>
      </w:r>
      <w:r>
        <w:rPr>
          <w:rFonts w:hint="eastAsia" w:hAnsi="宋体" w:cs="宋体"/>
          <w:sz w:val="32"/>
          <w:szCs w:val="32"/>
          <w:lang w:val="en-US" w:eastAsia="zh-CN"/>
        </w:rPr>
        <w:t>15</w:t>
      </w:r>
      <w:r>
        <w:rPr>
          <w:rFonts w:hint="eastAsia" w:hAnsi="宋体" w:cs="宋体"/>
          <w:sz w:val="32"/>
          <w:szCs w:val="32"/>
        </w:rPr>
        <w:t>项，建立健全四级农产品质量安全检验检测和农产品质量</w:t>
      </w:r>
      <w:r>
        <w:rPr>
          <w:rFonts w:hint="eastAsia" w:hAnsi="宋体" w:cs="宋体"/>
          <w:sz w:val="32"/>
          <w:szCs w:val="32"/>
          <w:lang w:eastAsia="zh-CN"/>
        </w:rPr>
        <w:t>追溯</w:t>
      </w:r>
      <w:r>
        <w:rPr>
          <w:rFonts w:hint="eastAsia" w:hAnsi="宋体" w:cs="宋体"/>
          <w:sz w:val="32"/>
          <w:szCs w:val="32"/>
        </w:rPr>
        <w:t>体系，主要农产品抽检合格率</w:t>
      </w:r>
      <w:r>
        <w:rPr>
          <w:rFonts w:hint="eastAsia" w:hAnsi="宋体" w:cs="宋体"/>
          <w:sz w:val="32"/>
          <w:szCs w:val="32"/>
          <w:lang w:eastAsia="zh-CN"/>
        </w:rPr>
        <w:t>稳定在</w:t>
      </w:r>
      <w:r>
        <w:rPr>
          <w:rFonts w:hint="eastAsia" w:hAnsi="宋体" w:cs="宋体"/>
          <w:sz w:val="32"/>
          <w:szCs w:val="32"/>
        </w:rPr>
        <w:t>98%</w:t>
      </w:r>
      <w:r>
        <w:rPr>
          <w:rFonts w:hint="eastAsia" w:hAnsi="宋体" w:cs="宋体"/>
          <w:sz w:val="32"/>
          <w:szCs w:val="32"/>
          <w:lang w:eastAsia="zh-CN"/>
        </w:rPr>
        <w:t>以上</w:t>
      </w:r>
      <w:r>
        <w:rPr>
          <w:rFonts w:hint="eastAsia" w:hAnsi="宋体" w:cs="宋体"/>
          <w:sz w:val="32"/>
          <w:szCs w:val="32"/>
        </w:rPr>
        <w:t>。大力实施特色产业品牌工程，创建中国特色农产品优势区6个，</w:t>
      </w:r>
      <w:r>
        <w:rPr>
          <w:rFonts w:hint="eastAsia" w:hAnsi="宋体" w:cs="宋体"/>
          <w:sz w:val="32"/>
          <w:szCs w:val="32"/>
          <w:lang w:eastAsia="zh-CN"/>
        </w:rPr>
        <w:t>“</w:t>
      </w:r>
      <w:r>
        <w:rPr>
          <w:rFonts w:hint="eastAsia" w:hAnsi="宋体" w:cs="宋体"/>
          <w:sz w:val="32"/>
          <w:szCs w:val="32"/>
        </w:rPr>
        <w:t>中宁枸杞</w:t>
      </w:r>
      <w:r>
        <w:rPr>
          <w:rFonts w:hint="eastAsia" w:hAnsi="宋体" w:cs="宋体"/>
          <w:sz w:val="32"/>
          <w:szCs w:val="32"/>
          <w:lang w:eastAsia="zh-CN"/>
        </w:rPr>
        <w:t>”“</w:t>
      </w:r>
      <w:r>
        <w:rPr>
          <w:rFonts w:hint="eastAsia" w:hAnsi="宋体" w:cs="宋体"/>
          <w:sz w:val="32"/>
          <w:szCs w:val="32"/>
        </w:rPr>
        <w:t>盐池滩羊</w:t>
      </w:r>
      <w:r>
        <w:rPr>
          <w:rFonts w:hint="eastAsia" w:hAnsi="宋体" w:cs="宋体"/>
          <w:sz w:val="32"/>
          <w:szCs w:val="32"/>
          <w:lang w:eastAsia="zh-CN"/>
        </w:rPr>
        <w:t>”“</w:t>
      </w:r>
      <w:r>
        <w:rPr>
          <w:rFonts w:hint="eastAsia" w:hAnsi="宋体" w:cs="宋体"/>
          <w:sz w:val="32"/>
          <w:szCs w:val="32"/>
        </w:rPr>
        <w:t>宁夏大米</w:t>
      </w:r>
      <w:r>
        <w:rPr>
          <w:rFonts w:hint="eastAsia" w:hAnsi="宋体" w:cs="宋体"/>
          <w:sz w:val="32"/>
          <w:szCs w:val="32"/>
          <w:lang w:eastAsia="zh-CN"/>
        </w:rPr>
        <w:t>”“</w:t>
      </w:r>
      <w:r>
        <w:rPr>
          <w:rFonts w:hint="eastAsia" w:hAnsi="宋体" w:cs="宋体"/>
          <w:sz w:val="32"/>
          <w:szCs w:val="32"/>
        </w:rPr>
        <w:t>固原黄牛</w:t>
      </w:r>
      <w:r>
        <w:rPr>
          <w:rFonts w:hint="eastAsia" w:hAnsi="宋体" w:cs="宋体"/>
          <w:sz w:val="32"/>
          <w:szCs w:val="32"/>
          <w:lang w:eastAsia="zh-CN"/>
        </w:rPr>
        <w:t>”“</w:t>
      </w:r>
      <w:r>
        <w:rPr>
          <w:rFonts w:hint="eastAsia" w:hAnsi="宋体" w:cs="宋体"/>
          <w:sz w:val="32"/>
          <w:szCs w:val="32"/>
        </w:rPr>
        <w:t>灵武长枣</w:t>
      </w:r>
      <w:r>
        <w:rPr>
          <w:rFonts w:hint="eastAsia" w:hAnsi="宋体" w:cs="宋体"/>
          <w:sz w:val="32"/>
          <w:szCs w:val="32"/>
          <w:lang w:eastAsia="zh-CN"/>
        </w:rPr>
        <w:t>”</w:t>
      </w:r>
      <w:r>
        <w:rPr>
          <w:rFonts w:hint="eastAsia" w:hAnsi="宋体" w:cs="宋体"/>
          <w:sz w:val="32"/>
          <w:szCs w:val="32"/>
        </w:rPr>
        <w:t>等区域公用品牌入选全国特色农产品区域公用品牌，“盐池滩羊”“中宁枸杞”“宁夏贺兰山东麓葡萄酒”等区域特色农产品品牌价值突显。</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sz w:val="32"/>
          <w:szCs w:val="32"/>
        </w:rPr>
      </w:pPr>
      <w:bookmarkStart w:id="37" w:name="_Toc14177"/>
      <w:bookmarkStart w:id="38" w:name="_Toc3850"/>
      <w:bookmarkStart w:id="39" w:name="_Toc16890"/>
      <w:bookmarkStart w:id="40" w:name="_Toc14279"/>
      <w:r>
        <w:rPr>
          <w:rFonts w:hint="eastAsia" w:ascii="仿宋_GB2312" w:hAnsi="仿宋_GB2312" w:eastAsia="仿宋_GB2312" w:cs="仿宋_GB2312"/>
          <w:b w:val="0"/>
          <w:bCs/>
          <w:sz w:val="32"/>
          <w:szCs w:val="32"/>
        </w:rPr>
        <w:t>绿色发展体制机制不断创新</w:t>
      </w:r>
      <w:bookmarkEnd w:id="37"/>
      <w:bookmarkEnd w:id="38"/>
      <w:bookmarkEnd w:id="39"/>
      <w:bookmarkEnd w:id="40"/>
      <w:r>
        <w:rPr>
          <w:rFonts w:hint="eastAsia" w:ascii="仿宋_GB2312" w:hAnsi="仿宋_GB2312" w:eastAsia="仿宋_GB2312" w:cs="仿宋_GB2312"/>
          <w:b w:val="0"/>
          <w:bCs/>
          <w:sz w:val="32"/>
          <w:szCs w:val="32"/>
        </w:rPr>
        <w:t>。</w:t>
      </w:r>
      <w:r>
        <w:rPr>
          <w:rFonts w:hint="eastAsia"/>
          <w:sz w:val="32"/>
          <w:szCs w:val="32"/>
        </w:rPr>
        <w:t>农业绿色发展政策持续完善，“省级抓总、市县抓落实”的农业绿色发展责任体制得到有效落实，农业绿色发展工作从组织领导、资金投入、责任主体、人才技术、考核督查、氛围营造6个方面提出具体要求，发展目标纳入市</w:t>
      </w:r>
      <w:r>
        <w:rPr>
          <w:rFonts w:hint="eastAsia"/>
          <w:sz w:val="32"/>
          <w:szCs w:val="32"/>
          <w:lang w:eastAsia="zh-CN"/>
        </w:rPr>
        <w:t>、</w:t>
      </w:r>
      <w:r>
        <w:rPr>
          <w:rFonts w:hint="eastAsia"/>
          <w:sz w:val="32"/>
          <w:szCs w:val="32"/>
        </w:rPr>
        <w:t>县（区）年度考核指标，工作责任逐级有力压实。农业绿色发展资金投入稳步增加，每年整合农业生产发展、生态环境保护、高标准农田建设等各类涉农资金20多亿元，用于支持农业农村绿色发展及生态补偿，农业绿色发展政策不断创新，投入资金得到有效保障。</w:t>
      </w:r>
      <w:bookmarkStart w:id="41" w:name="_Toc15648"/>
    </w:p>
    <w:p>
      <w:pPr>
        <w:pStyle w:val="32"/>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第三节</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面临挑战</w:t>
      </w:r>
      <w:bookmarkEnd w:id="41"/>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Ansi="宋体" w:cs="宋体"/>
          <w:sz w:val="32"/>
          <w:szCs w:val="32"/>
        </w:rPr>
      </w:pPr>
      <w:r>
        <w:rPr>
          <w:rFonts w:hint="eastAsia"/>
          <w:sz w:val="32"/>
          <w:szCs w:val="32"/>
        </w:rPr>
        <w:t>宁夏经济发展相对落后，水土资</w:t>
      </w:r>
      <w:r>
        <w:rPr>
          <w:rFonts w:hint="eastAsia" w:hAnsi="宋体" w:cs="宋体"/>
          <w:sz w:val="32"/>
          <w:szCs w:val="32"/>
        </w:rPr>
        <w:t>源约束趋紧、生态保护重任在肩，</w:t>
      </w:r>
      <w:r>
        <w:rPr>
          <w:rFonts w:hint="eastAsia"/>
          <w:sz w:val="32"/>
          <w:szCs w:val="32"/>
        </w:rPr>
        <w:t>特别是在农业发展方式转型的关键时期，全区农业发展仍</w:t>
      </w:r>
      <w:r>
        <w:rPr>
          <w:rFonts w:hint="eastAsia" w:hAnsi="宋体" w:cs="宋体"/>
          <w:sz w:val="32"/>
          <w:szCs w:val="32"/>
        </w:rPr>
        <w:t>面临解决发展动力不足和提升发展质量双重挑战。</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Ansi="宋体" w:cs="宋体"/>
          <w:color w:val="000000" w:themeColor="text1"/>
          <w:sz w:val="32"/>
          <w:szCs w:val="32"/>
          <w14:textFill>
            <w14:solidFill>
              <w14:schemeClr w14:val="tx1"/>
            </w14:solidFill>
          </w14:textFill>
        </w:rPr>
      </w:pPr>
      <w:bookmarkStart w:id="42" w:name="_Toc24375"/>
      <w:bookmarkStart w:id="43" w:name="_Toc21553"/>
      <w:bookmarkStart w:id="44" w:name="_Toc26463"/>
      <w:bookmarkStart w:id="45" w:name="_Toc12472"/>
      <w:r>
        <w:rPr>
          <w:rFonts w:hint="eastAsia" w:ascii="仿宋_GB2312" w:hAnsi="仿宋_GB2312" w:eastAsia="仿宋_GB2312" w:cs="仿宋_GB2312"/>
          <w:b w:val="0"/>
          <w:bCs/>
          <w:sz w:val="32"/>
          <w:szCs w:val="32"/>
        </w:rPr>
        <w:t>水资源相对匮乏</w:t>
      </w:r>
      <w:bookmarkEnd w:id="42"/>
      <w:bookmarkEnd w:id="43"/>
      <w:bookmarkEnd w:id="44"/>
      <w:bookmarkEnd w:id="45"/>
      <w:r>
        <w:rPr>
          <w:rFonts w:hint="eastAsia" w:ascii="仿宋_GB2312" w:hAnsi="仿宋_GB2312" w:eastAsia="仿宋_GB2312" w:cs="仿宋_GB2312"/>
          <w:b w:val="0"/>
          <w:bCs/>
          <w:sz w:val="32"/>
          <w:szCs w:val="32"/>
        </w:rPr>
        <w:t>。</w:t>
      </w:r>
      <w:r>
        <w:rPr>
          <w:rFonts w:hint="eastAsia" w:hAnsi="宋体" w:cs="宋体"/>
          <w:sz w:val="32"/>
          <w:szCs w:val="32"/>
        </w:rPr>
        <w:t>宁夏</w:t>
      </w:r>
      <w:r>
        <w:rPr>
          <w:rFonts w:hint="eastAsia" w:hAnsi="宋体" w:cs="宋体"/>
          <w:sz w:val="32"/>
          <w:szCs w:val="32"/>
          <w:lang w:eastAsia="zh-CN"/>
        </w:rPr>
        <w:t>地处西北内陆，</w:t>
      </w:r>
      <w:r>
        <w:rPr>
          <w:rFonts w:hint="eastAsia" w:hAnsi="宋体" w:cs="宋体"/>
          <w:sz w:val="32"/>
          <w:szCs w:val="32"/>
        </w:rPr>
        <w:t>是全国水资源最为匮乏的地区之一，人均占有水量197m</w:t>
      </w:r>
      <w:r>
        <w:rPr>
          <w:rFonts w:hint="eastAsia" w:hAnsi="宋体" w:cs="宋体"/>
          <w:sz w:val="32"/>
          <w:szCs w:val="32"/>
          <w:vertAlign w:val="superscript"/>
        </w:rPr>
        <w:t>3</w:t>
      </w:r>
      <w:r>
        <w:rPr>
          <w:rFonts w:hint="eastAsia" w:hAnsi="宋体" w:cs="宋体"/>
          <w:sz w:val="32"/>
          <w:szCs w:val="32"/>
        </w:rPr>
        <w:t>，仅为全国平均值的1/12，水资源对我区发展具有特殊重要性。受水资源条件限制，</w:t>
      </w:r>
      <w:r>
        <w:rPr>
          <w:rFonts w:hint="eastAsia" w:hAnsi="宋体" w:cs="宋体"/>
          <w:sz w:val="32"/>
          <w:szCs w:val="32"/>
          <w:lang w:eastAsia="zh-CN"/>
        </w:rPr>
        <w:t>优</w:t>
      </w:r>
      <w:r>
        <w:rPr>
          <w:rFonts w:hint="eastAsia" w:hAnsi="宋体" w:cs="宋体"/>
          <w:sz w:val="32"/>
          <w:szCs w:val="32"/>
        </w:rPr>
        <w:t>质耕地少、低产旱地多，水浇地占比不高。</w:t>
      </w:r>
      <w:r>
        <w:rPr>
          <w:rFonts w:hint="eastAsia" w:hAnsi="宋体" w:cs="宋体"/>
          <w:color w:val="000000" w:themeColor="text1"/>
          <w:sz w:val="32"/>
          <w:szCs w:val="32"/>
          <w14:textFill>
            <w14:solidFill>
              <w14:schemeClr w14:val="tx1"/>
            </w14:solidFill>
          </w14:textFill>
        </w:rPr>
        <w:t>缺水仍是今后一个时期影响我区农业绿色发展的主要因素。</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Ansi="宋体" w:cs="宋体"/>
          <w:sz w:val="32"/>
          <w:szCs w:val="32"/>
        </w:rPr>
      </w:pPr>
      <w:bookmarkStart w:id="46" w:name="_Toc26263"/>
      <w:bookmarkStart w:id="47" w:name="_Toc12509"/>
      <w:bookmarkStart w:id="48" w:name="_Toc14212"/>
      <w:bookmarkStart w:id="49" w:name="_Toc15323"/>
      <w:r>
        <w:rPr>
          <w:rFonts w:hint="eastAsia" w:ascii="仿宋_GB2312" w:hAnsi="仿宋_GB2312" w:eastAsia="仿宋_GB2312" w:cs="仿宋_GB2312"/>
          <w:b w:val="0"/>
          <w:bCs/>
          <w:sz w:val="32"/>
          <w:szCs w:val="32"/>
        </w:rPr>
        <w:t>农业生产效益总体</w:t>
      </w:r>
      <w:bookmarkEnd w:id="46"/>
      <w:bookmarkEnd w:id="47"/>
      <w:bookmarkEnd w:id="48"/>
      <w:bookmarkEnd w:id="49"/>
      <w:r>
        <w:rPr>
          <w:rFonts w:hint="eastAsia" w:ascii="仿宋_GB2312" w:hAnsi="仿宋_GB2312" w:eastAsia="仿宋_GB2312" w:cs="仿宋_GB2312"/>
          <w:b w:val="0"/>
          <w:bCs/>
          <w:sz w:val="32"/>
          <w:szCs w:val="32"/>
        </w:rPr>
        <w:t>不高。</w:t>
      </w:r>
      <w:r>
        <w:rPr>
          <w:rFonts w:hint="eastAsia" w:hAnsi="宋体" w:cs="宋体"/>
          <w:sz w:val="32"/>
          <w:szCs w:val="32"/>
        </w:rPr>
        <w:t>主要农产品加工产值与农业总产值之比1.9</w:t>
      </w:r>
      <w:r>
        <w:rPr>
          <w:rFonts w:hint="eastAsia" w:ascii="宋体" w:hAnsi="宋体" w:eastAsia="宋体" w:cs="宋体"/>
          <w:sz w:val="32"/>
          <w:szCs w:val="32"/>
        </w:rPr>
        <w:t>︰</w:t>
      </w:r>
      <w:r>
        <w:rPr>
          <w:rFonts w:hint="eastAsia" w:hAnsi="宋体" w:cs="宋体"/>
          <w:sz w:val="32"/>
          <w:szCs w:val="32"/>
        </w:rPr>
        <w:t>1，低于全国2.3</w:t>
      </w:r>
      <w:r>
        <w:rPr>
          <w:rFonts w:hint="eastAsia" w:ascii="宋体" w:hAnsi="宋体" w:eastAsia="宋体" w:cs="宋体"/>
          <w:sz w:val="32"/>
          <w:szCs w:val="32"/>
        </w:rPr>
        <w:t>︰</w:t>
      </w:r>
      <w:r>
        <w:rPr>
          <w:rFonts w:hint="eastAsia" w:hAnsi="宋体" w:cs="宋体"/>
          <w:sz w:val="32"/>
          <w:szCs w:val="32"/>
        </w:rPr>
        <w:t>1的平均水平；第一产业增加值占地区生产总量8.6%，高于全国0.9个百分点；特色产业发展规模小，聚集度不高，产业链条短，产品附加值较低。全区粮经饲</w:t>
      </w:r>
      <w:r>
        <w:rPr>
          <w:rFonts w:hint="eastAsia" w:hAnsi="宋体" w:cs="宋体"/>
          <w:color w:val="auto"/>
          <w:sz w:val="32"/>
          <w:szCs w:val="32"/>
        </w:rPr>
        <w:t>比例为66</w:t>
      </w:r>
      <w:r>
        <w:rPr>
          <w:rFonts w:hint="eastAsia" w:ascii="宋体" w:hAnsi="宋体" w:eastAsia="宋体" w:cs="宋体"/>
          <w:color w:val="auto"/>
          <w:sz w:val="32"/>
          <w:szCs w:val="32"/>
        </w:rPr>
        <w:t>︰</w:t>
      </w:r>
      <w:r>
        <w:rPr>
          <w:rFonts w:hint="eastAsia" w:hAnsi="宋体" w:cs="宋体"/>
          <w:color w:val="auto"/>
          <w:sz w:val="32"/>
          <w:szCs w:val="32"/>
        </w:rPr>
        <w:t>23</w:t>
      </w:r>
      <w:r>
        <w:rPr>
          <w:rFonts w:hint="eastAsia" w:ascii="宋体" w:hAnsi="宋体" w:eastAsia="宋体" w:cs="宋体"/>
          <w:color w:val="auto"/>
          <w:sz w:val="32"/>
          <w:szCs w:val="32"/>
        </w:rPr>
        <w:t>︰</w:t>
      </w:r>
      <w:r>
        <w:rPr>
          <w:rFonts w:hint="eastAsia" w:hAnsi="宋体" w:cs="宋体"/>
          <w:color w:val="auto"/>
          <w:sz w:val="32"/>
          <w:szCs w:val="32"/>
        </w:rPr>
        <w:t>11</w:t>
      </w:r>
      <w:r>
        <w:rPr>
          <w:rFonts w:hint="eastAsia" w:hAnsi="宋体" w:cs="宋体"/>
          <w:sz w:val="32"/>
          <w:szCs w:val="32"/>
        </w:rPr>
        <w:t>，</w:t>
      </w:r>
      <w:bookmarkStart w:id="50" w:name="OLE_LINK4"/>
      <w:r>
        <w:rPr>
          <w:rFonts w:hint="eastAsia" w:ascii="仿宋_GB2312" w:hAnsi="仿宋_GB2312" w:eastAsia="仿宋_GB2312" w:cs="仿宋_GB2312"/>
          <w:sz w:val="32"/>
          <w:szCs w:val="32"/>
          <w:lang w:val="en-US" w:eastAsia="zh-CN"/>
        </w:rPr>
        <w:t>高效作物比重偏低，土地每亩产出率、万元农业增加值耗水量等指标与全国平均水平差距加大</w:t>
      </w:r>
      <w:bookmarkEnd w:id="50"/>
      <w:r>
        <w:rPr>
          <w:rFonts w:hint="eastAsia" w:hAnsi="宋体" w:cs="宋体"/>
          <w:sz w:val="32"/>
          <w:szCs w:val="32"/>
        </w:rPr>
        <w:t>。</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Ansi="宋体" w:cs="宋体"/>
          <w:sz w:val="32"/>
          <w:szCs w:val="32"/>
        </w:rPr>
      </w:pPr>
      <w:bookmarkStart w:id="51" w:name="_Toc29666"/>
      <w:bookmarkStart w:id="52" w:name="_Toc10104"/>
      <w:bookmarkStart w:id="53" w:name="_Toc21725"/>
      <w:bookmarkStart w:id="54" w:name="_Toc28440"/>
      <w:r>
        <w:rPr>
          <w:rFonts w:hint="eastAsia" w:ascii="仿宋_GB2312" w:hAnsi="仿宋_GB2312" w:eastAsia="仿宋_GB2312" w:cs="仿宋_GB2312"/>
          <w:b w:val="0"/>
          <w:bCs/>
          <w:sz w:val="32"/>
          <w:szCs w:val="32"/>
        </w:rPr>
        <w:t>农业面源污染治理仍需加强</w:t>
      </w:r>
      <w:bookmarkEnd w:id="51"/>
      <w:bookmarkEnd w:id="52"/>
      <w:bookmarkEnd w:id="53"/>
      <w:bookmarkEnd w:id="54"/>
      <w:r>
        <w:rPr>
          <w:rFonts w:hint="eastAsia" w:ascii="仿宋_GB2312" w:hAnsi="仿宋_GB2312" w:eastAsia="仿宋_GB2312" w:cs="仿宋_GB2312"/>
          <w:b w:val="0"/>
          <w:bCs/>
          <w:sz w:val="32"/>
          <w:szCs w:val="32"/>
        </w:rPr>
        <w:t>。</w:t>
      </w:r>
      <w:r>
        <w:rPr>
          <w:rFonts w:hint="eastAsia" w:cs="方正楷体_GBK" w:hAnsiTheme="majorEastAsia"/>
          <w:bCs/>
          <w:sz w:val="32"/>
          <w:szCs w:val="32"/>
        </w:rPr>
        <w:t>黄</w:t>
      </w:r>
      <w:r>
        <w:rPr>
          <w:rFonts w:hint="eastAsia" w:hAnsi="宋体" w:cs="宋体"/>
          <w:sz w:val="32"/>
          <w:szCs w:val="32"/>
        </w:rPr>
        <w:t>河灌溉农业区化肥农药减量增效任务依然艰巨，瓜菜生产集中区尤为突出，亩均施用量均高于全国平均水平。</w:t>
      </w:r>
      <w:r>
        <w:rPr>
          <w:rFonts w:hint="eastAsia" w:ascii="仿宋_GB2312" w:hAnsi="仿宋_GB2312" w:eastAsia="仿宋_GB2312" w:cs="仿宋_GB2312"/>
          <w:spacing w:val="-6"/>
          <w:sz w:val="32"/>
          <w:szCs w:val="32"/>
          <w:lang w:eastAsia="zh-CN"/>
        </w:rPr>
        <w:t>粪污资源化利用</w:t>
      </w:r>
      <w:r>
        <w:rPr>
          <w:rFonts w:hint="eastAsia" w:ascii="仿宋_GB2312" w:hAnsi="仿宋_GB2312" w:cs="仿宋_GB2312"/>
          <w:spacing w:val="-6"/>
          <w:sz w:val="32"/>
          <w:szCs w:val="32"/>
          <w:lang w:eastAsia="zh-CN"/>
        </w:rPr>
        <w:t>还不平衡，</w:t>
      </w:r>
      <w:r>
        <w:rPr>
          <w:rFonts w:hint="eastAsia" w:ascii="仿宋_GB2312" w:hAnsi="仿宋_GB2312" w:eastAsia="仿宋_GB2312" w:cs="仿宋_GB2312"/>
          <w:spacing w:val="-6"/>
          <w:sz w:val="32"/>
          <w:szCs w:val="32"/>
          <w:lang w:eastAsia="zh-CN"/>
        </w:rPr>
        <w:t>没有形成成熟模式，还田利用水平有待提高</w:t>
      </w:r>
      <w:r>
        <w:rPr>
          <w:rFonts w:hint="eastAsia" w:ascii="仿宋_GB2312" w:hAnsi="仿宋_GB2312" w:cs="仿宋_GB2312"/>
          <w:sz w:val="32"/>
          <w:szCs w:val="32"/>
          <w:lang w:eastAsia="zh-CN"/>
        </w:rPr>
        <w:t>，</w:t>
      </w:r>
      <w:r>
        <w:rPr>
          <w:rFonts w:hint="eastAsia" w:hAnsi="宋体" w:cs="宋体"/>
          <w:sz w:val="32"/>
          <w:szCs w:val="32"/>
        </w:rPr>
        <w:t>农用残膜回收利用率还需进一步提高。</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宋体" w:hAnsi="宋体" w:eastAsia="宋体" w:cs="宋体"/>
          <w:sz w:val="32"/>
          <w:szCs w:val="32"/>
        </w:rPr>
      </w:pPr>
      <w:r>
        <w:rPr>
          <w:rFonts w:hint="eastAsia" w:ascii="仿宋_GB2312" w:hAnsi="仿宋_GB2312" w:eastAsia="仿宋_GB2312" w:cs="仿宋_GB2312"/>
          <w:b w:val="0"/>
          <w:bCs/>
          <w:sz w:val="32"/>
          <w:szCs w:val="32"/>
        </w:rPr>
        <w:t>绿色发展支撑体系仍需完善。</w:t>
      </w:r>
      <w:r>
        <w:rPr>
          <w:rFonts w:hint="eastAsia" w:hAnsi="宋体" w:cs="宋体"/>
          <w:sz w:val="32"/>
          <w:szCs w:val="32"/>
        </w:rPr>
        <w:t>资金投入不足，各级财政安排绿色发展引导性项目资金难以满足农业绿色发展的需要</w:t>
      </w:r>
      <w:r>
        <w:rPr>
          <w:rFonts w:hint="eastAsia" w:hAnsi="宋体" w:cs="宋体"/>
          <w:sz w:val="32"/>
          <w:szCs w:val="32"/>
          <w:lang w:eastAsia="zh-CN"/>
        </w:rPr>
        <w:t>。</w:t>
      </w:r>
      <w:r>
        <w:rPr>
          <w:rFonts w:hint="eastAsia" w:hAnsi="宋体" w:cs="宋体"/>
          <w:sz w:val="32"/>
          <w:szCs w:val="32"/>
        </w:rPr>
        <w:t>科技支撑能力还不够强，农业高效节水、节本增效、绿色生产等关键技术的研发和集成推广还不够</w:t>
      </w:r>
      <w:r>
        <w:rPr>
          <w:rFonts w:hint="eastAsia" w:hAnsi="宋体" w:cs="宋体"/>
          <w:sz w:val="32"/>
          <w:szCs w:val="32"/>
          <w:lang w:eastAsia="zh-CN"/>
        </w:rPr>
        <w:t>。</w:t>
      </w:r>
      <w:r>
        <w:rPr>
          <w:rFonts w:hint="eastAsia" w:hAnsi="宋体" w:cs="宋体"/>
          <w:sz w:val="32"/>
          <w:szCs w:val="32"/>
        </w:rPr>
        <w:t>全社会关注农药化肥减量、农业废弃物循环利用等农业绿色发展的意识还不够强。</w:t>
      </w:r>
    </w:p>
    <w:p>
      <w:pPr>
        <w:pStyle w:val="4"/>
        <w:keepNext/>
        <w:keepLines/>
        <w:pageBreakBefore w:val="0"/>
        <w:widowControl w:val="0"/>
        <w:kinsoku/>
        <w:wordWrap/>
        <w:overflowPunct/>
        <w:topLinePunct w:val="0"/>
        <w:autoSpaceDE/>
        <w:autoSpaceDN/>
        <w:bidi w:val="0"/>
        <w:adjustRightInd/>
        <w:snapToGrid/>
        <w:spacing w:before="260" w:after="260" w:line="240" w:lineRule="auto"/>
        <w:ind w:left="0" w:leftChars="0" w:right="0" w:rightChars="0" w:firstLine="0" w:firstLineChars="0"/>
        <w:jc w:val="center"/>
        <w:textAlignment w:val="auto"/>
        <w:outlineLvl w:val="1"/>
        <w:rPr>
          <w:rFonts w:hint="eastAsia" w:ascii="楷体_GB2312" w:hAnsi="楷体_GB2312" w:eastAsia="楷体_GB2312" w:cs="楷体_GB2312"/>
          <w:sz w:val="32"/>
          <w:szCs w:val="32"/>
        </w:rPr>
      </w:pPr>
      <w:bookmarkStart w:id="55" w:name="_Toc16500"/>
      <w:r>
        <w:rPr>
          <w:rFonts w:hint="eastAsia" w:ascii="楷体_GB2312" w:hAnsi="楷体_GB2312" w:eastAsia="楷体_GB2312" w:cs="楷体_GB2312"/>
          <w:sz w:val="32"/>
          <w:szCs w:val="32"/>
          <w:lang w:eastAsia="zh-CN"/>
        </w:rPr>
        <w:t>第四节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发展机遇</w:t>
      </w:r>
      <w:bookmarkEnd w:id="55"/>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sz w:val="32"/>
          <w:szCs w:val="32"/>
        </w:rPr>
      </w:pPr>
      <w:r>
        <w:rPr>
          <w:sz w:val="32"/>
          <w:szCs w:val="32"/>
        </w:rPr>
        <w:t>展望“十四五”，生态优先、绿色发展将成为全党全社会的共识，绿色生产生活方式加快形成，美丽中国建设扎实推进，</w:t>
      </w:r>
      <w:r>
        <w:rPr>
          <w:rFonts w:hint="eastAsia"/>
          <w:sz w:val="32"/>
          <w:szCs w:val="32"/>
        </w:rPr>
        <w:t>党中央赋予宁夏建设黄河流域生态保护与高质量发展先行区的战略任务，</w:t>
      </w:r>
      <w:r>
        <w:rPr>
          <w:sz w:val="32"/>
          <w:szCs w:val="32"/>
        </w:rPr>
        <w:t>为</w:t>
      </w:r>
      <w:r>
        <w:rPr>
          <w:rFonts w:hint="eastAsia"/>
          <w:sz w:val="32"/>
          <w:szCs w:val="32"/>
        </w:rPr>
        <w:t>全区</w:t>
      </w:r>
      <w:r>
        <w:rPr>
          <w:sz w:val="32"/>
          <w:szCs w:val="32"/>
        </w:rPr>
        <w:t>农业绿色发展带来难得</w:t>
      </w:r>
      <w:r>
        <w:rPr>
          <w:rFonts w:hint="eastAsia"/>
          <w:sz w:val="32"/>
          <w:szCs w:val="32"/>
        </w:rPr>
        <w:t>历史</w:t>
      </w:r>
      <w:r>
        <w:rPr>
          <w:sz w:val="32"/>
          <w:szCs w:val="32"/>
        </w:rPr>
        <w:t>机遇。</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sz w:val="32"/>
          <w:szCs w:val="32"/>
        </w:rPr>
      </w:pPr>
      <w:r>
        <w:rPr>
          <w:rFonts w:hint="eastAsia" w:ascii="仿宋_GB2312" w:hAnsi="仿宋_GB2312" w:eastAsia="仿宋_GB2312" w:cs="仿宋_GB2312"/>
          <w:b w:val="0"/>
          <w:bCs/>
          <w:sz w:val="32"/>
          <w:szCs w:val="32"/>
        </w:rPr>
        <w:t>政策环境不断优化。</w:t>
      </w:r>
      <w:r>
        <w:rPr>
          <w:sz w:val="32"/>
          <w:szCs w:val="32"/>
        </w:rPr>
        <w:t>“三农”工作重心转向全面推进乡村振兴、加快农业农村现代化，</w:t>
      </w:r>
      <w:r>
        <w:rPr>
          <w:rFonts w:hint="eastAsia"/>
          <w:sz w:val="32"/>
          <w:szCs w:val="32"/>
        </w:rPr>
        <w:t>让</w:t>
      </w:r>
      <w:r>
        <w:rPr>
          <w:sz w:val="32"/>
          <w:szCs w:val="32"/>
        </w:rPr>
        <w:t>更多资源要素向农村生态文明建设聚集，碳达峰、碳中和纳入生态文明建设整体布局，</w:t>
      </w:r>
      <w:r>
        <w:rPr>
          <w:rFonts w:hint="eastAsia"/>
          <w:sz w:val="32"/>
          <w:szCs w:val="32"/>
        </w:rPr>
        <w:t>自治区实施生态立区战略、建设落实黄河流域生态保护和高质量发展先行区的政策不断充实完善，</w:t>
      </w:r>
      <w:r>
        <w:rPr>
          <w:sz w:val="32"/>
          <w:szCs w:val="32"/>
        </w:rPr>
        <w:t>以绿色为导向的农业支持保障体系更加健全，将为推进农业绿色发展提供有力支撑。</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sz w:val="32"/>
          <w:szCs w:val="32"/>
        </w:rPr>
      </w:pPr>
      <w:r>
        <w:rPr>
          <w:rFonts w:hint="eastAsia" w:ascii="仿宋_GB2312" w:hAnsi="仿宋_GB2312" w:eastAsia="仿宋_GB2312" w:cs="仿宋_GB2312"/>
          <w:b w:val="0"/>
          <w:bCs/>
          <w:sz w:val="32"/>
          <w:szCs w:val="32"/>
        </w:rPr>
        <w:t>产业发展前景广阔。</w:t>
      </w:r>
      <w:r>
        <w:rPr>
          <w:rFonts w:hint="eastAsia"/>
          <w:sz w:val="32"/>
          <w:szCs w:val="32"/>
        </w:rPr>
        <w:t>自治区党委和政府在深入分析资源禀赋、产业优势、发展前景的基础上，提出实现经济高质量发展的九</w:t>
      </w:r>
      <w:r>
        <w:rPr>
          <w:rFonts w:hint="eastAsia"/>
          <w:sz w:val="32"/>
          <w:szCs w:val="32"/>
          <w:lang w:eastAsia="zh-CN"/>
        </w:rPr>
        <w:t>个重点</w:t>
      </w:r>
      <w:r>
        <w:rPr>
          <w:rFonts w:hint="eastAsia"/>
          <w:sz w:val="32"/>
          <w:szCs w:val="32"/>
        </w:rPr>
        <w:t>产业，其中枸杞、葡萄酒、奶产业、肉牛和滩羊、绿色食品产业作为农业发展产业占据非常重要的地位，也是推动农业产业实现高质量发展的主要抓手，为</w:t>
      </w:r>
      <w:r>
        <w:rPr>
          <w:sz w:val="32"/>
          <w:szCs w:val="32"/>
        </w:rPr>
        <w:t>推进</w:t>
      </w:r>
      <w:r>
        <w:rPr>
          <w:rFonts w:hint="eastAsia"/>
          <w:sz w:val="32"/>
          <w:szCs w:val="32"/>
        </w:rPr>
        <w:t>全区</w:t>
      </w:r>
      <w:r>
        <w:rPr>
          <w:sz w:val="32"/>
          <w:szCs w:val="32"/>
        </w:rPr>
        <w:t>农业绿色发展提供广阔的空间。</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sz w:val="32"/>
          <w:szCs w:val="32"/>
        </w:rPr>
      </w:pPr>
      <w:r>
        <w:rPr>
          <w:rFonts w:hint="eastAsia" w:ascii="仿宋_GB2312" w:hAnsi="仿宋_GB2312" w:eastAsia="仿宋_GB2312" w:cs="仿宋_GB2312"/>
          <w:b w:val="0"/>
          <w:bCs/>
          <w:sz w:val="32"/>
          <w:szCs w:val="32"/>
        </w:rPr>
        <w:t>科技</w:t>
      </w:r>
      <w:r>
        <w:rPr>
          <w:rFonts w:hint="eastAsia" w:ascii="仿宋_GB2312" w:hAnsi="仿宋_GB2312" w:eastAsia="仿宋_GB2312" w:cs="仿宋_GB2312"/>
          <w:b w:val="0"/>
          <w:bCs/>
          <w:sz w:val="32"/>
          <w:szCs w:val="32"/>
          <w:lang w:eastAsia="zh-CN"/>
        </w:rPr>
        <w:t>创新能力增强</w:t>
      </w:r>
      <w:r>
        <w:rPr>
          <w:rFonts w:hint="eastAsia" w:ascii="仿宋_GB2312" w:hAnsi="仿宋_GB2312" w:eastAsia="仿宋_GB2312" w:cs="仿宋_GB2312"/>
          <w:b w:val="0"/>
          <w:bCs/>
          <w:sz w:val="32"/>
          <w:szCs w:val="32"/>
        </w:rPr>
        <w:t>。</w:t>
      </w:r>
      <w:r>
        <w:rPr>
          <w:rFonts w:hint="eastAsia"/>
          <w:sz w:val="32"/>
          <w:szCs w:val="32"/>
        </w:rPr>
        <w:t>全区农业农村信息化基础设施和装备条件明显提升，行业大数据建设明显加速，智慧农业应用形成了以奶牛养殖、蔬菜种植引领，智慧牧场、智能日光温室、无人机植保、智慧农机等场景应用多点呈现的良好局面，</w:t>
      </w:r>
      <w:r>
        <w:rPr>
          <w:sz w:val="32"/>
          <w:szCs w:val="32"/>
        </w:rPr>
        <w:t>以生物技术和信息技术为特征的新一轮农业科技革命</w:t>
      </w:r>
      <w:r>
        <w:rPr>
          <w:rFonts w:hint="eastAsia"/>
          <w:sz w:val="32"/>
          <w:szCs w:val="32"/>
          <w:lang w:eastAsia="zh-CN"/>
        </w:rPr>
        <w:t>加速推进</w:t>
      </w:r>
      <w:r>
        <w:rPr>
          <w:sz w:val="32"/>
          <w:szCs w:val="32"/>
        </w:rPr>
        <w:t>，农业绿色发展的核心关键技术有望逐步破解，</w:t>
      </w:r>
      <w:r>
        <w:rPr>
          <w:rFonts w:hint="eastAsia"/>
          <w:sz w:val="32"/>
          <w:szCs w:val="32"/>
        </w:rPr>
        <w:t>数字云服务为农业绿色发展安装上智慧大脑。</w:t>
      </w:r>
      <w:r>
        <w:rPr>
          <w:sz w:val="32"/>
          <w:szCs w:val="32"/>
        </w:rPr>
        <w:t>不同区域、不同类型绿色发展技术模式</w:t>
      </w:r>
      <w:r>
        <w:rPr>
          <w:rFonts w:hint="eastAsia"/>
          <w:sz w:val="32"/>
          <w:szCs w:val="32"/>
        </w:rPr>
        <w:t>的</w:t>
      </w:r>
      <w:r>
        <w:rPr>
          <w:sz w:val="32"/>
          <w:szCs w:val="32"/>
        </w:rPr>
        <w:t>集成推广，将为推进</w:t>
      </w:r>
      <w:r>
        <w:rPr>
          <w:rFonts w:hint="eastAsia"/>
          <w:sz w:val="32"/>
          <w:szCs w:val="32"/>
        </w:rPr>
        <w:t>农业绿色发展提供强大的动力。</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sz w:val="32"/>
          <w:szCs w:val="32"/>
        </w:rPr>
      </w:pPr>
      <w:r>
        <w:rPr>
          <w:rFonts w:hint="eastAsia" w:ascii="仿宋_GB2312" w:hAnsi="仿宋_GB2312" w:eastAsia="仿宋_GB2312" w:cs="仿宋_GB2312"/>
          <w:b w:val="0"/>
          <w:bCs/>
          <w:sz w:val="32"/>
          <w:szCs w:val="32"/>
        </w:rPr>
        <w:t>主体带动不断强化。</w:t>
      </w:r>
      <w:r>
        <w:rPr>
          <w:rFonts w:hint="eastAsia"/>
          <w:sz w:val="32"/>
          <w:szCs w:val="32"/>
        </w:rPr>
        <w:t>绿色生产技术在家庭农场、农民合作社等新型经营主体广泛应用，面向小农户的专业化社会化服务</w:t>
      </w:r>
      <w:r>
        <w:rPr>
          <w:rFonts w:hint="eastAsia"/>
          <w:sz w:val="32"/>
          <w:szCs w:val="32"/>
          <w:lang w:eastAsia="zh-CN"/>
        </w:rPr>
        <w:t>加速</w:t>
      </w:r>
      <w:r>
        <w:rPr>
          <w:rFonts w:hint="eastAsia"/>
          <w:sz w:val="32"/>
          <w:szCs w:val="32"/>
        </w:rPr>
        <w:t>发展，绿色品种、技术、装备和投入品逐步走进千家万户，掌握绿色生产技术的高素质农民、大学生返乡创业人员成为推动农业绿色发展的中坚力量，将为推进农业高质量发展创造更加有利的条件。</w:t>
      </w:r>
    </w:p>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黑体" w:hAnsi="黑体" w:eastAsia="黑体" w:cs="黑体"/>
          <w:b w:val="0"/>
          <w:bCs w:val="0"/>
          <w:sz w:val="32"/>
          <w:szCs w:val="32"/>
        </w:rPr>
      </w:pPr>
      <w:bookmarkStart w:id="56" w:name="_Toc47634559"/>
      <w:bookmarkStart w:id="57" w:name="_Toc3151"/>
      <w:bookmarkStart w:id="58" w:name="_Toc16676"/>
      <w:bookmarkStart w:id="59" w:name="_Toc21229"/>
      <w:bookmarkStart w:id="60" w:name="_Toc64884470"/>
      <w:bookmarkStart w:id="61" w:name="_Toc8250"/>
      <w:bookmarkStart w:id="62" w:name="_Toc14083"/>
      <w:bookmarkStart w:id="63" w:name="_Toc5193"/>
      <w:r>
        <w:rPr>
          <w:rFonts w:hint="eastAsia" w:ascii="黑体" w:hAnsi="黑体" w:eastAsia="黑体" w:cs="黑体"/>
          <w:b w:val="0"/>
          <w:bCs w:val="0"/>
          <w:sz w:val="32"/>
          <w:szCs w:val="32"/>
        </w:rPr>
        <w:t xml:space="preserve">第二章 </w:t>
      </w:r>
      <w:bookmarkEnd w:id="27"/>
      <w:bookmarkEnd w:id="56"/>
      <w:bookmarkEnd w:id="57"/>
      <w:bookmarkEnd w:id="58"/>
      <w:bookmarkEnd w:id="59"/>
      <w:bookmarkEnd w:id="60"/>
      <w:bookmarkEnd w:id="61"/>
      <w:bookmarkEnd w:id="62"/>
      <w:r>
        <w:rPr>
          <w:rFonts w:hint="eastAsia" w:ascii="黑体" w:hAnsi="黑体" w:eastAsia="黑体" w:cs="黑体"/>
          <w:b w:val="0"/>
          <w:bCs w:val="0"/>
          <w:sz w:val="32"/>
          <w:szCs w:val="32"/>
        </w:rPr>
        <w:t>总体要求</w:t>
      </w:r>
      <w:bookmarkEnd w:id="63"/>
    </w:p>
    <w:p>
      <w:pPr>
        <w:pStyle w:val="4"/>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楷体_GB2312" w:hAnsi="楷体_GB2312" w:eastAsia="楷体_GB2312" w:cs="楷体_GB2312"/>
        </w:rPr>
      </w:pPr>
      <w:bookmarkStart w:id="64" w:name="_Toc47634560"/>
      <w:bookmarkStart w:id="65" w:name="_Toc10203427"/>
      <w:bookmarkStart w:id="66" w:name="_Toc25404"/>
      <w:bookmarkStart w:id="67" w:name="_Toc28937"/>
      <w:bookmarkStart w:id="68" w:name="_Toc31093"/>
      <w:bookmarkStart w:id="69" w:name="_Toc13248"/>
      <w:bookmarkStart w:id="70" w:name="_Toc22395"/>
      <w:bookmarkStart w:id="71" w:name="_Toc6308"/>
      <w:r>
        <w:rPr>
          <w:rFonts w:hint="eastAsia" w:ascii="楷体_GB2312" w:hAnsi="楷体_GB2312" w:eastAsia="楷体_GB2312" w:cs="楷体_GB2312"/>
          <w:sz w:val="32"/>
          <w:szCs w:val="32"/>
          <w:lang w:eastAsia="zh-CN"/>
        </w:rPr>
        <w:t>第一节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指导思想</w:t>
      </w:r>
      <w:bookmarkEnd w:id="64"/>
      <w:bookmarkEnd w:id="65"/>
      <w:bookmarkEnd w:id="66"/>
      <w:bookmarkEnd w:id="67"/>
      <w:bookmarkEnd w:id="68"/>
      <w:bookmarkEnd w:id="69"/>
      <w:bookmarkEnd w:id="70"/>
      <w:bookmarkEnd w:id="71"/>
    </w:p>
    <w:p>
      <w:pPr>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ascii="仿宋_GB2312" w:hAnsi="宋体" w:eastAsia="仿宋_GB2312" w:cs="宋体"/>
          <w:snapToGrid w:val="0"/>
          <w:kern w:val="21"/>
          <w:sz w:val="32"/>
          <w:szCs w:val="32"/>
        </w:rPr>
      </w:pPr>
      <w:bookmarkStart w:id="72" w:name="_Toc558"/>
      <w:bookmarkStart w:id="73" w:name="_Toc5100"/>
      <w:bookmarkStart w:id="74" w:name="_Toc47634561"/>
      <w:bookmarkStart w:id="75" w:name="_Toc8825"/>
      <w:bookmarkStart w:id="76" w:name="_Toc10203428"/>
      <w:bookmarkStart w:id="77" w:name="_Toc19094"/>
      <w:bookmarkStart w:id="78" w:name="_Toc17575"/>
      <w:r>
        <w:rPr>
          <w:rFonts w:hint="eastAsia" w:ascii="仿宋_GB2312" w:hAnsi="宋体" w:eastAsia="仿宋_GB2312" w:cs="宋体"/>
          <w:snapToGrid w:val="0"/>
          <w:kern w:val="21"/>
          <w:sz w:val="32"/>
          <w:szCs w:val="32"/>
        </w:rPr>
        <w:t>以习近平新时代中国特色社会主义思想为指导，深入贯彻党的十九大和十九届历次全会精神、自治区党委十二届十一次、十二次、十三次、十四次全会精神，全面落实习近平总书记视察宁夏重要讲话精神，立足新发展阶段，贯彻新发展理念，构建新发展格局，坚持生态优先、绿色发展，牢固树立“绿水青山就是金山银山”的理念，抓住建设黄河流域生态保护和高质量发展先行区的历史机遇，聚焦枸杞、葡萄酒、奶产业、肉牛和滩羊、绿色食品等重点产业，以推动高质量发展为主题，以深化农业供给侧结构性改革为主线，统筹推进布局区域化、经营规模化、生产标准化、发展产业化，加快构建绿色低碳循环发展农业产业体系。强化科技集成创新，健全激励约束机制，完善监督管理制度，推进农业生产方式绿色化、产业模式生态化、资源利用集约化、投入品减量化、废弃物资源化，加快构建人与自然和谐共生的农业发展新格局，为全面推进乡村振兴、加快农业现代化提供有力支撑。</w:t>
      </w:r>
    </w:p>
    <w:p>
      <w:pPr>
        <w:pStyle w:val="4"/>
        <w:keepNext/>
        <w:keepLines/>
        <w:pageBreakBefore w:val="0"/>
        <w:widowControl w:val="0"/>
        <w:kinsoku/>
        <w:wordWrap/>
        <w:overflowPunct/>
        <w:topLinePunct w:val="0"/>
        <w:autoSpaceDE/>
        <w:autoSpaceDN/>
        <w:bidi w:val="0"/>
        <w:adjustRightInd/>
        <w:snapToGrid/>
        <w:spacing w:before="260" w:after="260" w:line="240" w:lineRule="auto"/>
        <w:ind w:left="0" w:leftChars="0" w:right="0" w:rightChars="0" w:firstLine="0" w:firstLineChars="0"/>
        <w:jc w:val="center"/>
        <w:textAlignment w:val="auto"/>
        <w:outlineLvl w:val="1"/>
        <w:rPr>
          <w:rFonts w:hint="eastAsia" w:ascii="楷体_GB2312" w:hAnsi="楷体_GB2312" w:eastAsia="楷体_GB2312" w:cs="楷体_GB2312"/>
          <w:sz w:val="32"/>
          <w:szCs w:val="32"/>
        </w:rPr>
      </w:pPr>
      <w:bookmarkStart w:id="79" w:name="_Toc15615"/>
      <w:r>
        <w:rPr>
          <w:rFonts w:hint="eastAsia" w:ascii="楷体_GB2312" w:hAnsi="楷体_GB2312" w:eastAsia="楷体_GB2312" w:cs="楷体_GB2312"/>
          <w:sz w:val="32"/>
          <w:szCs w:val="32"/>
          <w:lang w:eastAsia="zh-CN"/>
        </w:rPr>
        <w:t>第二节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规划原则</w:t>
      </w:r>
      <w:bookmarkEnd w:id="72"/>
      <w:bookmarkEnd w:id="73"/>
      <w:bookmarkEnd w:id="74"/>
      <w:bookmarkEnd w:id="75"/>
      <w:bookmarkEnd w:id="76"/>
      <w:bookmarkEnd w:id="77"/>
      <w:bookmarkEnd w:id="78"/>
      <w:bookmarkEnd w:id="79"/>
    </w:p>
    <w:p>
      <w:pPr>
        <w:keepNext w:val="0"/>
        <w:keepLines w:val="0"/>
        <w:pageBreakBefore w:val="0"/>
        <w:kinsoku/>
        <w:wordWrap/>
        <w:overflowPunct/>
        <w:topLinePunct w:val="0"/>
        <w:autoSpaceDE/>
        <w:autoSpaceDN/>
        <w:bidi w:val="0"/>
        <w:spacing w:line="560" w:lineRule="exact"/>
        <w:ind w:left="0" w:leftChars="0" w:right="0" w:rightChars="0" w:firstLine="640" w:firstLineChars="200"/>
        <w:jc w:val="left"/>
        <w:textAlignment w:val="auto"/>
        <w:outlineLvl w:val="9"/>
        <w:rPr>
          <w:rFonts w:ascii="仿宋_GB2312" w:hAnsi="宋体" w:eastAsia="仿宋_GB2312" w:cs="宋体"/>
          <w:sz w:val="32"/>
          <w:szCs w:val="32"/>
        </w:rPr>
      </w:pPr>
      <w:r>
        <w:rPr>
          <w:rFonts w:hint="eastAsia" w:ascii="仿宋_GB2312" w:hAnsi="仿宋_GB2312" w:eastAsia="仿宋_GB2312" w:cs="仿宋_GB2312"/>
          <w:b w:val="0"/>
          <w:bCs/>
          <w:kern w:val="2"/>
          <w:sz w:val="32"/>
          <w:szCs w:val="32"/>
          <w:lang w:val="en-US" w:eastAsia="zh-CN" w:bidi="ar-SA"/>
        </w:rPr>
        <w:t>底线思维、保护优先。</w:t>
      </w:r>
      <w:r>
        <w:rPr>
          <w:rFonts w:hint="eastAsia" w:ascii="仿宋_GB2312" w:hAnsi="宋体" w:eastAsia="仿宋_GB2312" w:cs="宋体"/>
          <w:sz w:val="32"/>
          <w:szCs w:val="32"/>
        </w:rPr>
        <w:t>落实</w:t>
      </w:r>
      <w:r>
        <w:rPr>
          <w:rFonts w:hint="eastAsia" w:ascii="仿宋_GB2312" w:hAnsi="宋体" w:eastAsia="仿宋_GB2312" w:cs="宋体"/>
          <w:color w:val="000000" w:themeColor="text1"/>
          <w:sz w:val="32"/>
          <w:szCs w:val="32"/>
          <w:lang w:eastAsia="zh-CN"/>
          <w14:textFill>
            <w14:solidFill>
              <w14:schemeClr w14:val="tx1"/>
            </w14:solidFill>
          </w14:textFill>
        </w:rPr>
        <w:t>生态保护红线</w:t>
      </w:r>
      <w:r>
        <w:rPr>
          <w:rFonts w:hint="eastAsia" w:ascii="仿宋_GB2312" w:hAnsi="宋体" w:eastAsia="仿宋_GB2312" w:cs="宋体"/>
          <w:sz w:val="32"/>
          <w:szCs w:val="32"/>
        </w:rPr>
        <w:t>、环境质量安全底线、自然资源利用上线的要求，立足资源禀赋，因地制宜，优化产业布局，坚持节约保护优先、自然恢复为主，守住农业生态边界。</w:t>
      </w:r>
    </w:p>
    <w:p>
      <w:pPr>
        <w:keepNext w:val="0"/>
        <w:keepLines w:val="0"/>
        <w:pageBreakBefore w:val="0"/>
        <w:kinsoku/>
        <w:wordWrap/>
        <w:overflowPunct/>
        <w:topLinePunct w:val="0"/>
        <w:autoSpaceDE/>
        <w:autoSpaceDN/>
        <w:bidi w:val="0"/>
        <w:adjustRightInd w:val="0"/>
        <w:snapToGrid w:val="0"/>
        <w:spacing w:line="560" w:lineRule="exact"/>
        <w:ind w:left="0" w:leftChars="0" w:right="0" w:rightChars="0" w:firstLine="640" w:firstLineChars="200"/>
        <w:textAlignment w:val="auto"/>
        <w:outlineLvl w:val="9"/>
        <w:rPr>
          <w:rFonts w:ascii="仿宋_GB2312" w:hAnsi="Times New Roman" w:eastAsia="仿宋_GB2312" w:cs="Times New Roman"/>
          <w:sz w:val="32"/>
          <w:szCs w:val="32"/>
        </w:rPr>
      </w:pPr>
      <w:r>
        <w:rPr>
          <w:rFonts w:hint="eastAsia" w:ascii="仿宋_GB2312" w:hAnsi="仿宋_GB2312" w:eastAsia="仿宋_GB2312" w:cs="仿宋_GB2312"/>
          <w:b w:val="0"/>
          <w:bCs/>
          <w:kern w:val="2"/>
          <w:sz w:val="32"/>
          <w:szCs w:val="32"/>
          <w:lang w:val="en-US" w:eastAsia="zh-CN" w:bidi="ar-SA"/>
        </w:rPr>
        <w:t>政府引导、市场主体。</w:t>
      </w:r>
      <w:r>
        <w:rPr>
          <w:rFonts w:hint="eastAsia" w:ascii="仿宋_GB2312" w:hAnsi="Times New Roman" w:eastAsia="仿宋_GB2312" w:cs="Times New Roman"/>
          <w:sz w:val="32"/>
          <w:szCs w:val="32"/>
        </w:rPr>
        <w:t>加强政府的顶层设计和政策引导，鼓励支持各类市场经营主体参与农业绿色发展。按照责权利相统一的原则，健全市场资源配置机制，调动各类市场经营主体的积极性，努力形成推进农业绿色发展合力。</w:t>
      </w:r>
    </w:p>
    <w:p>
      <w:pPr>
        <w:keepNext w:val="0"/>
        <w:keepLines w:val="0"/>
        <w:pageBreakBefore w:val="0"/>
        <w:widowControl/>
        <w:kinsoku/>
        <w:wordWrap/>
        <w:overflowPunct/>
        <w:topLinePunct w:val="0"/>
        <w:autoSpaceDE/>
        <w:autoSpaceDN/>
        <w:bidi w:val="0"/>
        <w:spacing w:line="560" w:lineRule="exact"/>
        <w:ind w:left="0" w:leftChars="0" w:right="0" w:rightChars="0" w:firstLine="640" w:firstLineChars="200"/>
        <w:jc w:val="left"/>
        <w:textAlignment w:val="auto"/>
        <w:outlineLvl w:val="9"/>
        <w:rPr>
          <w:rFonts w:ascii="仿宋_GB2312" w:hAnsi="Times New Roman" w:eastAsia="仿宋_GB2312" w:cs="Times New Roman"/>
          <w:sz w:val="32"/>
          <w:szCs w:val="32"/>
        </w:rPr>
      </w:pPr>
      <w:r>
        <w:rPr>
          <w:rFonts w:hint="eastAsia" w:ascii="仿宋_GB2312" w:hAnsi="仿宋_GB2312" w:eastAsia="仿宋_GB2312" w:cs="仿宋_GB2312"/>
          <w:b w:val="0"/>
          <w:bCs/>
          <w:kern w:val="2"/>
          <w:sz w:val="32"/>
          <w:szCs w:val="32"/>
          <w:lang w:val="en-US" w:eastAsia="zh-CN" w:bidi="ar-SA"/>
        </w:rPr>
        <w:t>先行先试、示范引领。</w:t>
      </w:r>
      <w:r>
        <w:rPr>
          <w:rFonts w:hint="eastAsia" w:ascii="仿宋_GB2312" w:hAnsi="宋体" w:eastAsia="仿宋_GB2312" w:cs="宋体"/>
          <w:sz w:val="32"/>
          <w:szCs w:val="32"/>
        </w:rPr>
        <w:t>落实国家农业绿色发展先行区建设要求，</w:t>
      </w:r>
      <w:r>
        <w:rPr>
          <w:rFonts w:hint="eastAsia" w:ascii="仿宋_GB2312" w:hAnsi="Times New Roman" w:eastAsia="仿宋_GB2312" w:cs="Times New Roman"/>
          <w:sz w:val="32"/>
          <w:szCs w:val="32"/>
        </w:rPr>
        <w:t>分区分类推进</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按照重点突破、整体推进的思路，探索农业绿色发展的运行机制、发展模式及集成技术应用，推进农业绿色发展。</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left"/>
        <w:textAlignment w:val="auto"/>
        <w:outlineLvl w:val="9"/>
        <w:rPr>
          <w:rFonts w:ascii="仿宋_GB2312" w:hAnsi="Times New Roman" w:eastAsia="仿宋_GB2312" w:cs="Times New Roman"/>
          <w:sz w:val="32"/>
          <w:szCs w:val="32"/>
        </w:rPr>
      </w:pPr>
      <w:r>
        <w:rPr>
          <w:rFonts w:hint="eastAsia" w:ascii="仿宋_GB2312" w:hAnsi="仿宋_GB2312" w:eastAsia="仿宋_GB2312" w:cs="仿宋_GB2312"/>
          <w:b w:val="0"/>
          <w:bCs/>
          <w:kern w:val="2"/>
          <w:sz w:val="32"/>
          <w:szCs w:val="32"/>
          <w:lang w:val="en-US" w:eastAsia="zh-CN" w:bidi="ar-SA"/>
        </w:rPr>
        <w:t>创新支撑、完善机制。</w:t>
      </w:r>
      <w:r>
        <w:rPr>
          <w:rFonts w:hint="eastAsia" w:ascii="仿宋_GB2312" w:hAnsi="Times New Roman" w:eastAsia="仿宋_GB2312" w:cs="Times New Roman"/>
          <w:sz w:val="32"/>
          <w:szCs w:val="32"/>
        </w:rPr>
        <w:t>坚持问题导向、目标导向，总结一批农业绿色发展模式</w:t>
      </w:r>
      <w:r>
        <w:rPr>
          <w:rFonts w:hint="eastAsia" w:ascii="仿宋_GB2312" w:hAnsi="Times New Roman" w:eastAsia="仿宋_GB2312" w:cs="Times New Roman"/>
          <w:sz w:val="32"/>
          <w:szCs w:val="32"/>
          <w:lang w:eastAsia="zh-CN"/>
        </w:rPr>
        <w:t>，</w:t>
      </w:r>
      <w:r>
        <w:rPr>
          <w:rFonts w:hint="eastAsia" w:ascii="仿宋_GB2312" w:hAnsi="Times New Roman" w:eastAsia="仿宋_GB2312" w:cs="Times New Roman"/>
          <w:sz w:val="32"/>
          <w:szCs w:val="32"/>
        </w:rPr>
        <w:t>谋划推广一批农业绿色发展项目，构建农业绿色发展制度体系，建立完善推进农业绿色发展的长效机制。</w:t>
      </w:r>
    </w:p>
    <w:p>
      <w:pPr>
        <w:keepNext w:val="0"/>
        <w:keepLines w:val="0"/>
        <w:pageBreakBefore w:val="0"/>
        <w:kinsoku/>
        <w:wordWrap/>
        <w:overflowPunct/>
        <w:topLinePunct w:val="0"/>
        <w:autoSpaceDE/>
        <w:autoSpaceDN/>
        <w:bidi w:val="0"/>
        <w:spacing w:line="560" w:lineRule="exact"/>
        <w:ind w:left="0" w:leftChars="0" w:right="0" w:rightChars="0" w:firstLine="640" w:firstLineChars="200"/>
        <w:jc w:val="left"/>
        <w:textAlignment w:val="auto"/>
        <w:outlineLvl w:val="9"/>
        <w:rPr>
          <w:rFonts w:ascii="仿宋_GB2312" w:hAnsi="宋体" w:eastAsia="仿宋_GB2312" w:cs="宋体"/>
          <w:sz w:val="32"/>
          <w:szCs w:val="32"/>
        </w:rPr>
      </w:pPr>
      <w:r>
        <w:rPr>
          <w:rFonts w:hint="eastAsia" w:ascii="仿宋_GB2312" w:hAnsi="仿宋_GB2312" w:eastAsia="仿宋_GB2312" w:cs="仿宋_GB2312"/>
          <w:b w:val="0"/>
          <w:bCs/>
          <w:kern w:val="2"/>
          <w:sz w:val="32"/>
          <w:szCs w:val="32"/>
          <w:lang w:val="en-US" w:eastAsia="zh-CN" w:bidi="ar-SA"/>
        </w:rPr>
        <w:t>系统治理、统筹推进。</w:t>
      </w:r>
      <w:r>
        <w:rPr>
          <w:rFonts w:hint="eastAsia" w:ascii="仿宋_GB2312" w:hAnsi="宋体" w:eastAsia="仿宋_GB2312" w:cs="宋体"/>
          <w:sz w:val="32"/>
          <w:szCs w:val="32"/>
        </w:rPr>
        <w:t>实施山水林田湖草沙系统治理，正确处理农业绿色发展和资源安全、粮食安全、农民增收的关系，实现保供给、保收入、保生态的协调统一。</w:t>
      </w:r>
    </w:p>
    <w:p>
      <w:pPr>
        <w:pStyle w:val="4"/>
        <w:keepNext/>
        <w:keepLines/>
        <w:pageBreakBefore w:val="0"/>
        <w:widowControl w:val="0"/>
        <w:kinsoku/>
        <w:wordWrap/>
        <w:overflowPunct/>
        <w:topLinePunct w:val="0"/>
        <w:autoSpaceDE/>
        <w:autoSpaceDN/>
        <w:bidi w:val="0"/>
        <w:adjustRightInd/>
        <w:snapToGrid/>
        <w:spacing w:before="260" w:after="260" w:line="240" w:lineRule="auto"/>
        <w:ind w:left="0" w:leftChars="0" w:right="0" w:rightChars="0" w:firstLine="0" w:firstLineChars="0"/>
        <w:jc w:val="center"/>
        <w:textAlignment w:val="auto"/>
        <w:outlineLvl w:val="1"/>
        <w:rPr>
          <w:rFonts w:hint="eastAsia" w:ascii="楷体_GB2312" w:hAnsi="楷体_GB2312" w:eastAsia="楷体_GB2312" w:cs="楷体_GB2312"/>
        </w:rPr>
      </w:pPr>
      <w:bookmarkStart w:id="80" w:name="_Toc28242"/>
      <w:bookmarkStart w:id="81" w:name="_Toc47634562"/>
      <w:bookmarkStart w:id="82" w:name="_Toc23862"/>
      <w:bookmarkStart w:id="83" w:name="_Toc14772"/>
      <w:bookmarkStart w:id="84" w:name="_Toc12716"/>
      <w:bookmarkStart w:id="85" w:name="_Toc28785"/>
      <w:bookmarkStart w:id="86" w:name="_Toc5835"/>
      <w:bookmarkStart w:id="87" w:name="_Toc10203429"/>
      <w:r>
        <w:rPr>
          <w:rFonts w:hint="eastAsia" w:ascii="楷体_GB2312" w:hAnsi="楷体_GB2312" w:eastAsia="楷体_GB2312" w:cs="楷体_GB2312"/>
          <w:sz w:val="32"/>
          <w:szCs w:val="32"/>
          <w:lang w:eastAsia="zh-CN"/>
        </w:rPr>
        <w:t>第三节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发展目标</w:t>
      </w:r>
      <w:bookmarkEnd w:id="80"/>
      <w:bookmarkEnd w:id="81"/>
      <w:bookmarkEnd w:id="82"/>
      <w:bookmarkEnd w:id="83"/>
      <w:bookmarkEnd w:id="84"/>
      <w:bookmarkEnd w:id="85"/>
      <w:bookmarkEnd w:id="86"/>
      <w:bookmarkEnd w:id="87"/>
    </w:p>
    <w:p>
      <w:pPr>
        <w:pStyle w:val="32"/>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Times New Roman" w:eastAsia="仿宋_GB2312"/>
          <w:sz w:val="32"/>
          <w:szCs w:val="32"/>
        </w:rPr>
      </w:pPr>
      <w:r>
        <w:rPr>
          <w:rFonts w:hint="eastAsia" w:ascii="仿宋_GB2312" w:hAnsi="Times New Roman" w:eastAsia="仿宋_GB2312" w:cs="Times New Roman"/>
          <w:sz w:val="32"/>
          <w:szCs w:val="32"/>
        </w:rPr>
        <w:t>到</w:t>
      </w:r>
      <w:r>
        <w:rPr>
          <w:rFonts w:hint="eastAsia" w:ascii="Times New Roman" w:hAnsi="宋体" w:eastAsia="仿宋_GB2312" w:cs="宋体"/>
          <w:color w:val="auto"/>
          <w:sz w:val="32"/>
          <w:szCs w:val="32"/>
        </w:rPr>
        <w:t>2025</w:t>
      </w:r>
      <w:r>
        <w:rPr>
          <w:rFonts w:hint="eastAsia" w:ascii="仿宋_GB2312" w:hAnsi="Times New Roman" w:eastAsia="仿宋_GB2312" w:cs="Times New Roman"/>
          <w:sz w:val="32"/>
          <w:szCs w:val="32"/>
        </w:rPr>
        <w:t>年，全区农业生产结构和区域布局持续优化，农业生态环境明显改善，农业质量效益和竞争力显著提高，以绿色生态为导向的制度体系全面建立</w:t>
      </w:r>
      <w:r>
        <w:rPr>
          <w:rFonts w:hint="eastAsia" w:ascii="仿宋_GB2312" w:hAnsi="Times New Roman" w:eastAsia="仿宋_GB2312" w:cs="Times New Roman"/>
          <w:color w:val="auto"/>
          <w:sz w:val="32"/>
          <w:szCs w:val="32"/>
          <w:lang w:eastAsia="zh-CN"/>
        </w:rPr>
        <w:t>，</w:t>
      </w:r>
      <w:r>
        <w:rPr>
          <w:rFonts w:hint="eastAsia" w:ascii="仿宋_GB2312" w:hAnsi="Times New Roman" w:eastAsia="仿宋_GB2312" w:cs="Times New Roman"/>
          <w:sz w:val="32"/>
          <w:szCs w:val="32"/>
        </w:rPr>
        <w:t>国家农业绿色发展先行区建设取得实质性进展。</w:t>
      </w:r>
      <w:r>
        <w:rPr>
          <w:rFonts w:hint="eastAsia" w:ascii="仿宋_GB2312" w:hAnsi="仿宋_GB2312" w:eastAsia="仿宋_GB2312" w:cs="仿宋_GB2312"/>
          <w:b w:val="0"/>
          <w:bCs/>
          <w:sz w:val="32"/>
          <w:szCs w:val="32"/>
        </w:rPr>
        <w:t>资源利用水平明显提高</w:t>
      </w:r>
      <w:r>
        <w:rPr>
          <w:rFonts w:hint="eastAsia" w:ascii="仿宋_GB2312" w:hAnsi="仿宋_GB2312" w:eastAsia="仿宋_GB2312" w:cs="仿宋_GB2312"/>
          <w:b w:val="0"/>
          <w:bCs/>
          <w:sz w:val="32"/>
          <w:szCs w:val="32"/>
          <w:lang w:eastAsia="zh-CN"/>
        </w:rPr>
        <w:t>，</w:t>
      </w:r>
      <w:r>
        <w:rPr>
          <w:rFonts w:hint="eastAsia" w:ascii="仿宋_GB2312" w:hAnsi="Times New Roman" w:eastAsia="仿宋_GB2312" w:cs="Times New Roman"/>
          <w:sz w:val="32"/>
          <w:szCs w:val="32"/>
        </w:rPr>
        <w:t>耕地、水等农业资源得到有效保护、利用效率显著提高，以资源环境承载力为基准的农业生产制度初步建立</w:t>
      </w:r>
      <w:r>
        <w:rPr>
          <w:rFonts w:hint="eastAsia" w:ascii="仿宋_GB2312" w:cs="Times New Roman"/>
          <w:sz w:val="32"/>
          <w:szCs w:val="32"/>
          <w:lang w:eastAsia="zh-CN"/>
        </w:rPr>
        <w:t>；</w:t>
      </w:r>
      <w:r>
        <w:rPr>
          <w:rFonts w:hint="eastAsia" w:ascii="仿宋_GB2312" w:hAnsi="仿宋_GB2312" w:eastAsia="仿宋_GB2312" w:cs="仿宋_GB2312"/>
          <w:b w:val="0"/>
          <w:bCs/>
          <w:sz w:val="32"/>
          <w:szCs w:val="32"/>
        </w:rPr>
        <w:t>产地环境质量明显好转</w:t>
      </w:r>
      <w:r>
        <w:rPr>
          <w:rFonts w:hint="eastAsia" w:ascii="仿宋_GB2312" w:hAnsi="仿宋_GB2312" w:eastAsia="仿宋_GB2312" w:cs="仿宋_GB2312"/>
          <w:b w:val="0"/>
          <w:bCs/>
          <w:sz w:val="32"/>
          <w:szCs w:val="32"/>
          <w:lang w:eastAsia="zh-CN"/>
        </w:rPr>
        <w:t>，</w:t>
      </w:r>
      <w:r>
        <w:rPr>
          <w:rFonts w:hint="eastAsia" w:ascii="仿宋_GB2312" w:hAnsi="Times New Roman" w:eastAsia="仿宋_GB2312"/>
          <w:sz w:val="32"/>
          <w:szCs w:val="32"/>
        </w:rPr>
        <w:t>化肥、农药使用量持续减少，农作物秸秆、畜禽粪污、农用残膜等农业废弃物</w:t>
      </w:r>
      <w:r>
        <w:rPr>
          <w:rFonts w:hint="eastAsia" w:ascii="仿宋_GB2312" w:hAnsi="Times New Roman" w:eastAsia="仿宋_GB2312"/>
          <w:color w:val="auto"/>
          <w:sz w:val="32"/>
          <w:szCs w:val="32"/>
        </w:rPr>
        <w:t>循环</w:t>
      </w:r>
      <w:r>
        <w:rPr>
          <w:rFonts w:hint="eastAsia" w:ascii="仿宋_GB2312" w:hAnsi="Times New Roman" w:eastAsia="仿宋_GB2312"/>
          <w:sz w:val="32"/>
          <w:szCs w:val="32"/>
        </w:rPr>
        <w:t>利用，农业面源污染得到有效遏制</w:t>
      </w:r>
      <w:r>
        <w:rPr>
          <w:rFonts w:hint="eastAsia" w:ascii="仿宋_GB2312"/>
          <w:sz w:val="32"/>
          <w:szCs w:val="32"/>
          <w:lang w:eastAsia="zh-CN"/>
        </w:rPr>
        <w:t>；</w:t>
      </w:r>
      <w:r>
        <w:rPr>
          <w:rFonts w:hint="eastAsia" w:ascii="仿宋_GB2312" w:hAnsi="仿宋_GB2312" w:eastAsia="仿宋_GB2312" w:cs="仿宋_GB2312"/>
          <w:b w:val="0"/>
          <w:bCs/>
          <w:sz w:val="32"/>
          <w:szCs w:val="32"/>
        </w:rPr>
        <w:t>农业生态系统明显改善</w:t>
      </w:r>
      <w:r>
        <w:rPr>
          <w:rFonts w:hint="eastAsia" w:ascii="仿宋_GB2312" w:hAnsi="仿宋_GB2312" w:eastAsia="仿宋_GB2312" w:cs="仿宋_GB2312"/>
          <w:b w:val="0"/>
          <w:bCs/>
          <w:sz w:val="32"/>
          <w:szCs w:val="32"/>
          <w:lang w:eastAsia="zh-CN"/>
        </w:rPr>
        <w:t>，</w:t>
      </w:r>
      <w:r>
        <w:rPr>
          <w:rFonts w:hint="eastAsia" w:ascii="仿宋_GB2312" w:hAnsi="仿宋_GB2312" w:eastAsia="仿宋_GB2312" w:cs="仿宋_GB2312"/>
          <w:b w:val="0"/>
          <w:bCs w:val="0"/>
          <w:sz w:val="32"/>
          <w:szCs w:val="32"/>
          <w:lang w:eastAsia="zh-CN"/>
        </w:rPr>
        <w:t>耕地生态</w:t>
      </w:r>
      <w:r>
        <w:rPr>
          <w:rFonts w:hint="eastAsia" w:ascii="仿宋_GB2312" w:hAnsi="仿宋_GB2312" w:cs="仿宋_GB2312"/>
          <w:b w:val="0"/>
          <w:bCs w:val="0"/>
          <w:sz w:val="32"/>
          <w:szCs w:val="32"/>
          <w:lang w:eastAsia="zh-CN"/>
        </w:rPr>
        <w:t>逐步</w:t>
      </w:r>
      <w:r>
        <w:rPr>
          <w:rFonts w:hint="eastAsia" w:ascii="仿宋_GB2312" w:hAnsi="仿宋_GB2312" w:eastAsia="仿宋_GB2312" w:cs="仿宋_GB2312"/>
          <w:b w:val="0"/>
          <w:bCs w:val="0"/>
          <w:sz w:val="32"/>
          <w:szCs w:val="32"/>
          <w:lang w:eastAsia="zh-CN"/>
        </w:rPr>
        <w:t>恢复</w:t>
      </w:r>
      <w:r>
        <w:rPr>
          <w:rFonts w:hint="eastAsia" w:ascii="仿宋_GB2312" w:hAnsi="仿宋_GB2312" w:eastAsia="仿宋_GB2312" w:cs="仿宋_GB2312"/>
          <w:sz w:val="32"/>
          <w:szCs w:val="32"/>
        </w:rPr>
        <w:t>，</w:t>
      </w:r>
      <w:r>
        <w:rPr>
          <w:rFonts w:hint="eastAsia" w:ascii="仿宋_GB2312" w:hAnsi="Times New Roman" w:eastAsia="仿宋_GB2312"/>
          <w:sz w:val="32"/>
          <w:szCs w:val="32"/>
        </w:rPr>
        <w:t>生物多样性得到有效保护</w:t>
      </w:r>
      <w:r>
        <w:rPr>
          <w:rFonts w:hint="eastAsia" w:ascii="仿宋_GB2312"/>
          <w:sz w:val="32"/>
          <w:szCs w:val="32"/>
          <w:lang w:eastAsia="zh-CN"/>
        </w:rPr>
        <w:t>；</w:t>
      </w:r>
      <w:r>
        <w:rPr>
          <w:rFonts w:hint="eastAsia" w:ascii="仿宋_GB2312" w:hAnsi="仿宋_GB2312" w:eastAsia="仿宋_GB2312" w:cs="仿宋_GB2312"/>
          <w:b w:val="0"/>
          <w:bCs/>
          <w:sz w:val="32"/>
          <w:szCs w:val="32"/>
        </w:rPr>
        <w:t>绿色产品供给明显增加</w:t>
      </w:r>
      <w:r>
        <w:rPr>
          <w:rFonts w:hint="eastAsia" w:ascii="仿宋_GB2312" w:hAnsi="仿宋_GB2312" w:eastAsia="仿宋_GB2312" w:cs="仿宋_GB2312"/>
          <w:b w:val="0"/>
          <w:bCs/>
          <w:sz w:val="32"/>
          <w:szCs w:val="32"/>
          <w:lang w:eastAsia="zh-CN"/>
        </w:rPr>
        <w:t>，</w:t>
      </w:r>
      <w:r>
        <w:rPr>
          <w:rFonts w:hint="eastAsia" w:ascii="仿宋_GB2312" w:hAnsi="Times New Roman" w:eastAsia="仿宋_GB2312"/>
          <w:sz w:val="32"/>
          <w:szCs w:val="32"/>
        </w:rPr>
        <w:t>农业产业结构更加合理，优势特色产业快速发展，农业标准化生产加快推行，农产品</w:t>
      </w:r>
      <w:r>
        <w:rPr>
          <w:rFonts w:hint="eastAsia" w:ascii="仿宋_GB2312"/>
          <w:sz w:val="32"/>
          <w:szCs w:val="32"/>
          <w:lang w:eastAsia="zh-CN"/>
        </w:rPr>
        <w:t>供给保障能力显著增强；</w:t>
      </w:r>
      <w:r>
        <w:rPr>
          <w:rFonts w:hint="eastAsia" w:ascii="仿宋_GB2312" w:hAnsi="仿宋_GB2312" w:eastAsia="仿宋_GB2312" w:cs="仿宋_GB2312"/>
          <w:b w:val="0"/>
          <w:bCs/>
          <w:sz w:val="32"/>
          <w:szCs w:val="32"/>
        </w:rPr>
        <w:t>减排固碳能力明显增强</w:t>
      </w:r>
      <w:r>
        <w:rPr>
          <w:rFonts w:hint="eastAsia" w:ascii="仿宋_GB2312" w:hAnsi="仿宋_GB2312" w:eastAsia="仿宋_GB2312" w:cs="仿宋_GB2312"/>
          <w:b w:val="0"/>
          <w:bCs/>
          <w:sz w:val="32"/>
          <w:szCs w:val="32"/>
          <w:lang w:eastAsia="zh-CN"/>
        </w:rPr>
        <w:t>，</w:t>
      </w:r>
      <w:r>
        <w:rPr>
          <w:rFonts w:hint="eastAsia" w:ascii="仿宋_GB2312" w:hAnsi="Times New Roman" w:eastAsia="仿宋_GB2312"/>
          <w:sz w:val="32"/>
          <w:szCs w:val="32"/>
        </w:rPr>
        <w:t>主要农产品温室气体排放强度大幅降低，农业减排固碳和应对气候变化能力不断增强，农业用能效率有效提升。</w:t>
      </w:r>
    </w:p>
    <w:p>
      <w:pPr>
        <w:pStyle w:val="32"/>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Times New Roman" w:eastAsia="仿宋_GB2312"/>
          <w:sz w:val="32"/>
          <w:szCs w:val="32"/>
        </w:rPr>
      </w:pPr>
    </w:p>
    <w:p>
      <w:pPr>
        <w:pStyle w:val="32"/>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Times New Roman" w:eastAsia="仿宋_GB2312"/>
          <w:sz w:val="32"/>
          <w:szCs w:val="32"/>
        </w:rPr>
      </w:pPr>
    </w:p>
    <w:p>
      <w:pPr>
        <w:pStyle w:val="32"/>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Times New Roman" w:eastAsia="仿宋_GB2312"/>
          <w:sz w:val="32"/>
          <w:szCs w:val="32"/>
        </w:rPr>
      </w:pPr>
    </w:p>
    <w:p>
      <w:pPr>
        <w:pStyle w:val="32"/>
        <w:keepNext w:val="0"/>
        <w:keepLines w:val="0"/>
        <w:pageBreakBefore w:val="0"/>
        <w:widowControl w:val="0"/>
        <w:kinsoku/>
        <w:wordWrap/>
        <w:overflowPunct/>
        <w:topLinePunct w:val="0"/>
        <w:autoSpaceDE/>
        <w:autoSpaceDN/>
        <w:bidi w:val="0"/>
        <w:adjustRightInd w:val="0"/>
        <w:snapToGrid w:val="0"/>
        <w:spacing w:line="560" w:lineRule="exact"/>
        <w:ind w:left="0" w:leftChars="0" w:right="0" w:rightChars="0" w:firstLine="640" w:firstLineChars="200"/>
        <w:jc w:val="both"/>
        <w:textAlignment w:val="auto"/>
        <w:outlineLvl w:val="9"/>
        <w:rPr>
          <w:rFonts w:hint="eastAsia" w:ascii="仿宋_GB2312" w:hAnsi="Times New Roman" w:eastAsia="仿宋_GB2312"/>
          <w:sz w:val="32"/>
          <w:szCs w:val="32"/>
        </w:rPr>
      </w:pPr>
    </w:p>
    <w:tbl>
      <w:tblPr>
        <w:tblStyle w:val="15"/>
        <w:tblW w:w="852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40"/>
        <w:gridCol w:w="2420"/>
        <w:gridCol w:w="970"/>
        <w:gridCol w:w="1230"/>
        <w:gridCol w:w="2115"/>
        <w:gridCol w:w="14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exact"/>
          <w:tblHeader/>
          <w:jc w:val="center"/>
        </w:trPr>
        <w:tc>
          <w:tcPr>
            <w:tcW w:w="8520" w:type="dxa"/>
            <w:gridSpan w:val="6"/>
            <w:vAlign w:val="center"/>
          </w:tcPr>
          <w:p>
            <w:pPr>
              <w:widowControl/>
              <w:spacing w:line="240" w:lineRule="exact"/>
              <w:jc w:val="center"/>
              <w:rPr>
                <w:rFonts w:cs="Times New Roman" w:asciiTheme="minorEastAsia" w:hAnsiTheme="minorEastAsia"/>
                <w:b/>
                <w:bCs/>
                <w:kern w:val="0"/>
                <w:sz w:val="18"/>
                <w:szCs w:val="18"/>
              </w:rPr>
            </w:pPr>
            <w:r>
              <w:rPr>
                <w:rFonts w:hint="eastAsia" w:ascii="黑体" w:hAnsi="黑体" w:eastAsia="黑体" w:cs="黑体"/>
                <w:b w:val="0"/>
                <w:bCs w:val="0"/>
                <w:kern w:val="0"/>
                <w:sz w:val="22"/>
                <w:szCs w:val="22"/>
                <w:lang w:eastAsia="zh-CN"/>
              </w:rPr>
              <w:t>表</w:t>
            </w:r>
            <w:r>
              <w:rPr>
                <w:rFonts w:hint="eastAsia" w:ascii="黑体" w:hAnsi="黑体" w:eastAsia="黑体" w:cs="黑体"/>
                <w:b w:val="0"/>
                <w:bCs w:val="0"/>
                <w:kern w:val="0"/>
                <w:sz w:val="22"/>
                <w:szCs w:val="22"/>
              </w:rPr>
              <w:t>1</w:t>
            </w:r>
            <w:r>
              <w:rPr>
                <w:rFonts w:hint="eastAsia" w:ascii="黑体" w:hAnsi="黑体" w:eastAsia="黑体" w:cs="黑体"/>
                <w:b w:val="0"/>
                <w:bCs w:val="0"/>
                <w:kern w:val="0"/>
                <w:sz w:val="22"/>
                <w:szCs w:val="22"/>
                <w:lang w:val="en-US" w:eastAsia="zh-CN"/>
              </w:rPr>
              <w:t xml:space="preserve"> </w:t>
            </w:r>
            <w:r>
              <w:rPr>
                <w:rFonts w:hint="eastAsia" w:ascii="黑体" w:hAnsi="黑体" w:eastAsia="黑体" w:cs="黑体"/>
                <w:b w:val="0"/>
                <w:bCs w:val="0"/>
                <w:kern w:val="0"/>
                <w:sz w:val="22"/>
                <w:szCs w:val="22"/>
              </w:rPr>
              <w:t>农业绿色化发展目标</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1" w:hRule="exact"/>
          <w:tblHeader/>
          <w:jc w:val="center"/>
        </w:trPr>
        <w:tc>
          <w:tcPr>
            <w:tcW w:w="340" w:type="dxa"/>
            <w:vAlign w:val="center"/>
          </w:tcPr>
          <w:p>
            <w:pPr>
              <w:widowControl/>
              <w:spacing w:line="240" w:lineRule="exact"/>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类别</w:t>
            </w:r>
          </w:p>
        </w:tc>
        <w:tc>
          <w:tcPr>
            <w:tcW w:w="2420" w:type="dxa"/>
            <w:tcBorders>
              <w:right w:val="single" w:color="auto" w:sz="4" w:space="0"/>
            </w:tcBorders>
            <w:vAlign w:val="center"/>
          </w:tcPr>
          <w:p>
            <w:pPr>
              <w:widowControl/>
              <w:spacing w:line="240" w:lineRule="exact"/>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主要指标</w:t>
            </w:r>
          </w:p>
        </w:tc>
        <w:tc>
          <w:tcPr>
            <w:tcW w:w="970" w:type="dxa"/>
            <w:tcBorders>
              <w:left w:val="single" w:color="auto" w:sz="4" w:space="0"/>
            </w:tcBorders>
            <w:vAlign w:val="center"/>
          </w:tcPr>
          <w:p>
            <w:pPr>
              <w:widowControl/>
              <w:spacing w:line="240" w:lineRule="exact"/>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单位</w:t>
            </w:r>
          </w:p>
        </w:tc>
        <w:tc>
          <w:tcPr>
            <w:tcW w:w="1230" w:type="dxa"/>
            <w:vAlign w:val="center"/>
          </w:tcPr>
          <w:p>
            <w:pPr>
              <w:widowControl/>
              <w:spacing w:line="240" w:lineRule="exact"/>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现状值</w:t>
            </w:r>
          </w:p>
          <w:p>
            <w:pPr>
              <w:widowControl/>
              <w:spacing w:line="240" w:lineRule="exact"/>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w:t>
            </w:r>
            <w:r>
              <w:rPr>
                <w:rFonts w:hint="eastAsia" w:ascii="Times New Roman" w:hAnsi="Times New Roman" w:eastAsia="仿宋_GB2312" w:cs="Times New Roman"/>
                <w:bCs/>
                <w:kern w:val="0"/>
                <w:sz w:val="20"/>
                <w:szCs w:val="20"/>
              </w:rPr>
              <w:t>2020</w:t>
            </w:r>
            <w:r>
              <w:rPr>
                <w:rFonts w:hint="eastAsia" w:ascii="黑体" w:hAnsi="黑体" w:eastAsia="黑体" w:cs="黑体"/>
                <w:b w:val="0"/>
                <w:bCs w:val="0"/>
                <w:kern w:val="0"/>
                <w:sz w:val="20"/>
                <w:szCs w:val="20"/>
              </w:rPr>
              <w:t>年）</w:t>
            </w:r>
          </w:p>
        </w:tc>
        <w:tc>
          <w:tcPr>
            <w:tcW w:w="2115" w:type="dxa"/>
            <w:vAlign w:val="center"/>
          </w:tcPr>
          <w:p>
            <w:pPr>
              <w:widowControl/>
              <w:spacing w:line="240" w:lineRule="exact"/>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目标值</w:t>
            </w:r>
          </w:p>
          <w:p>
            <w:pPr>
              <w:widowControl/>
              <w:spacing w:line="240" w:lineRule="exact"/>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w:t>
            </w:r>
            <w:r>
              <w:rPr>
                <w:rFonts w:hint="eastAsia" w:ascii="Times New Roman" w:hAnsi="Times New Roman" w:eastAsia="仿宋_GB2312" w:cs="Times New Roman"/>
                <w:bCs/>
                <w:kern w:val="0"/>
                <w:sz w:val="20"/>
                <w:szCs w:val="20"/>
              </w:rPr>
              <w:t>2025</w:t>
            </w:r>
            <w:r>
              <w:rPr>
                <w:rFonts w:hint="eastAsia" w:ascii="黑体" w:hAnsi="黑体" w:eastAsia="黑体" w:cs="黑体"/>
                <w:b w:val="0"/>
                <w:bCs w:val="0"/>
                <w:kern w:val="0"/>
                <w:sz w:val="20"/>
                <w:szCs w:val="20"/>
              </w:rPr>
              <w:t>年）</w:t>
            </w:r>
          </w:p>
        </w:tc>
        <w:tc>
          <w:tcPr>
            <w:tcW w:w="1445" w:type="dxa"/>
            <w:vAlign w:val="center"/>
          </w:tcPr>
          <w:p>
            <w:pPr>
              <w:widowControl/>
              <w:spacing w:line="240" w:lineRule="exact"/>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指标属性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34" w:hRule="exact"/>
          <w:jc w:val="center"/>
        </w:trPr>
        <w:tc>
          <w:tcPr>
            <w:tcW w:w="340" w:type="dxa"/>
            <w:vMerge w:val="restart"/>
            <w:vAlign w:val="center"/>
          </w:tcPr>
          <w:p>
            <w:pPr>
              <w:spacing w:line="240" w:lineRule="exact"/>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农业资源</w:t>
            </w:r>
          </w:p>
        </w:tc>
        <w:tc>
          <w:tcPr>
            <w:tcW w:w="2420" w:type="dxa"/>
            <w:tcBorders>
              <w:right w:val="single" w:color="auto" w:sz="4" w:space="0"/>
            </w:tcBorders>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耕地面积</w:t>
            </w:r>
          </w:p>
        </w:tc>
        <w:tc>
          <w:tcPr>
            <w:tcW w:w="970" w:type="dxa"/>
            <w:tcBorders>
              <w:left w:val="single" w:color="auto" w:sz="4" w:space="0"/>
            </w:tcBorders>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万亩</w:t>
            </w:r>
          </w:p>
        </w:tc>
        <w:tc>
          <w:tcPr>
            <w:tcW w:w="1230" w:type="dxa"/>
            <w:vAlign w:val="center"/>
          </w:tcPr>
          <w:p>
            <w:pPr>
              <w:widowControl/>
              <w:spacing w:line="240" w:lineRule="exact"/>
              <w:jc w:val="center"/>
              <w:rPr>
                <w:rFonts w:hint="eastAsia" w:ascii="仿宋_GB2312" w:hAnsi="仿宋_GB2312" w:eastAsia="仿宋_GB2312" w:cs="仿宋_GB2312"/>
                <w:bCs/>
                <w:kern w:val="0"/>
                <w:sz w:val="20"/>
                <w:szCs w:val="20"/>
              </w:rPr>
            </w:pPr>
            <w:r>
              <w:rPr>
                <w:rFonts w:hint="default" w:ascii="Times New Roman" w:hAnsi="Times New Roman" w:eastAsia="仿宋_GB2312" w:cs="Times New Roman"/>
                <w:bCs/>
                <w:kern w:val="0"/>
                <w:sz w:val="20"/>
                <w:szCs w:val="20"/>
              </w:rPr>
              <w:t>1</w:t>
            </w:r>
            <w:r>
              <w:rPr>
                <w:rFonts w:hint="default" w:ascii="Times New Roman" w:hAnsi="Times New Roman" w:eastAsia="仿宋_GB2312" w:cs="Times New Roman"/>
                <w:bCs/>
                <w:kern w:val="0"/>
                <w:sz w:val="20"/>
                <w:szCs w:val="20"/>
                <w:lang w:val="en-US" w:eastAsia="zh-CN"/>
              </w:rPr>
              <w:t>797</w:t>
            </w:r>
          </w:p>
        </w:tc>
        <w:tc>
          <w:tcPr>
            <w:tcW w:w="2115" w:type="dxa"/>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不低于国家下达指标</w:t>
            </w:r>
          </w:p>
        </w:tc>
        <w:tc>
          <w:tcPr>
            <w:tcW w:w="1445" w:type="dxa"/>
            <w:vAlign w:val="center"/>
          </w:tcPr>
          <w:p>
            <w:pPr>
              <w:widowControl/>
              <w:spacing w:line="240" w:lineRule="exact"/>
              <w:jc w:val="center"/>
              <w:rPr>
                <w:rFonts w:hint="eastAsia" w:ascii="仿宋_GB2312" w:hAnsi="仿宋_GB2312" w:eastAsia="仿宋_GB2312" w:cs="仿宋_GB2312"/>
                <w:bCs/>
                <w:kern w:val="0"/>
                <w:sz w:val="20"/>
                <w:szCs w:val="20"/>
              </w:rPr>
            </w:pPr>
            <w:bookmarkStart w:id="88" w:name="OLE_LINK2"/>
            <w:r>
              <w:rPr>
                <w:rFonts w:hint="eastAsia" w:ascii="仿宋_GB2312" w:hAnsi="仿宋_GB2312" w:eastAsia="仿宋_GB2312" w:cs="仿宋_GB2312"/>
                <w:bCs/>
                <w:kern w:val="0"/>
                <w:sz w:val="20"/>
                <w:szCs w:val="20"/>
              </w:rPr>
              <w:t>约束</w:t>
            </w:r>
            <w:bookmarkEnd w:id="88"/>
            <w:r>
              <w:rPr>
                <w:rFonts w:hint="eastAsia" w:ascii="仿宋_GB2312" w:hAnsi="仿宋_GB2312" w:eastAsia="仿宋_GB2312" w:cs="仿宋_GB2312"/>
                <w:bCs/>
                <w:kern w:val="0"/>
                <w:sz w:val="20"/>
                <w:szCs w:val="20"/>
              </w:rPr>
              <w:t>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exact"/>
          <w:jc w:val="center"/>
        </w:trPr>
        <w:tc>
          <w:tcPr>
            <w:tcW w:w="340" w:type="dxa"/>
            <w:vMerge w:val="continue"/>
            <w:vAlign w:val="center"/>
          </w:tcPr>
          <w:p>
            <w:pPr>
              <w:widowControl/>
              <w:spacing w:line="240" w:lineRule="exact"/>
              <w:jc w:val="center"/>
              <w:rPr>
                <w:rFonts w:hint="eastAsia" w:ascii="黑体" w:hAnsi="黑体" w:eastAsia="黑体" w:cs="黑体"/>
                <w:b w:val="0"/>
                <w:bCs w:val="0"/>
                <w:kern w:val="0"/>
                <w:sz w:val="20"/>
                <w:szCs w:val="20"/>
              </w:rPr>
            </w:pPr>
          </w:p>
        </w:tc>
        <w:tc>
          <w:tcPr>
            <w:tcW w:w="2420" w:type="dxa"/>
            <w:tcBorders>
              <w:right w:val="single" w:color="auto" w:sz="4" w:space="0"/>
            </w:tcBorders>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高标准农田面积</w:t>
            </w:r>
          </w:p>
        </w:tc>
        <w:tc>
          <w:tcPr>
            <w:tcW w:w="970" w:type="dxa"/>
            <w:tcBorders>
              <w:left w:val="single" w:color="auto" w:sz="4" w:space="0"/>
            </w:tcBorders>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万亩</w:t>
            </w:r>
          </w:p>
        </w:tc>
        <w:tc>
          <w:tcPr>
            <w:tcW w:w="1230" w:type="dxa"/>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Times New Roman" w:hAnsi="Times New Roman" w:eastAsia="仿宋_GB2312" w:cs="Times New Roman"/>
                <w:bCs/>
                <w:kern w:val="0"/>
                <w:sz w:val="20"/>
                <w:szCs w:val="20"/>
              </w:rPr>
              <w:t>780</w:t>
            </w:r>
          </w:p>
        </w:tc>
        <w:tc>
          <w:tcPr>
            <w:tcW w:w="2115" w:type="dxa"/>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Times New Roman" w:hAnsi="Times New Roman" w:eastAsia="仿宋_GB2312" w:cs="Times New Roman"/>
                <w:bCs/>
                <w:kern w:val="0"/>
                <w:sz w:val="20"/>
                <w:szCs w:val="20"/>
              </w:rPr>
              <w:t>1100</w:t>
            </w:r>
          </w:p>
        </w:tc>
        <w:tc>
          <w:tcPr>
            <w:tcW w:w="1445" w:type="dxa"/>
            <w:vAlign w:val="center"/>
          </w:tcPr>
          <w:p>
            <w:pPr>
              <w:widowControl/>
              <w:spacing w:line="240" w:lineRule="exact"/>
              <w:jc w:val="center"/>
              <w:rPr>
                <w:rFonts w:hint="eastAsia" w:ascii="仿宋_GB2312" w:hAnsi="仿宋_GB2312" w:eastAsia="仿宋_GB2312" w:cs="仿宋_GB2312"/>
                <w:bCs/>
                <w:color w:val="auto"/>
                <w:kern w:val="0"/>
                <w:sz w:val="20"/>
                <w:szCs w:val="20"/>
              </w:rPr>
            </w:pPr>
            <w:r>
              <w:rPr>
                <w:rFonts w:hint="eastAsia" w:ascii="仿宋_GB2312" w:hAnsi="仿宋_GB2312" w:eastAsia="仿宋_GB2312" w:cs="仿宋_GB2312"/>
                <w:bCs/>
                <w:kern w:val="0"/>
                <w:sz w:val="20"/>
                <w:szCs w:val="20"/>
              </w:rPr>
              <w:t>约束</w:t>
            </w:r>
            <w:r>
              <w:rPr>
                <w:rFonts w:hint="eastAsia" w:ascii="仿宋_GB2312" w:hAnsi="仿宋_GB2312" w:eastAsia="仿宋_GB2312" w:cs="仿宋_GB2312"/>
                <w:bCs/>
                <w:color w:val="auto"/>
                <w:kern w:val="0"/>
                <w:sz w:val="20"/>
                <w:szCs w:val="20"/>
              </w:rPr>
              <w:t>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29" w:hRule="exact"/>
          <w:jc w:val="center"/>
        </w:trPr>
        <w:tc>
          <w:tcPr>
            <w:tcW w:w="340" w:type="dxa"/>
            <w:vMerge w:val="continue"/>
            <w:vAlign w:val="center"/>
          </w:tcPr>
          <w:p>
            <w:pPr>
              <w:widowControl/>
              <w:spacing w:line="240" w:lineRule="exact"/>
              <w:jc w:val="center"/>
              <w:rPr>
                <w:rFonts w:hint="eastAsia" w:ascii="黑体" w:hAnsi="黑体" w:eastAsia="黑体" w:cs="黑体"/>
                <w:b w:val="0"/>
                <w:bCs w:val="0"/>
                <w:kern w:val="0"/>
                <w:sz w:val="20"/>
                <w:szCs w:val="20"/>
              </w:rPr>
            </w:pPr>
          </w:p>
        </w:tc>
        <w:tc>
          <w:tcPr>
            <w:tcW w:w="2420" w:type="dxa"/>
            <w:tcBorders>
              <w:right w:val="single" w:color="auto" w:sz="4" w:space="0"/>
            </w:tcBorders>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土壤有机质含量</w:t>
            </w:r>
          </w:p>
        </w:tc>
        <w:tc>
          <w:tcPr>
            <w:tcW w:w="970" w:type="dxa"/>
            <w:tcBorders>
              <w:left w:val="single" w:color="auto" w:sz="4" w:space="0"/>
            </w:tcBorders>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克/千克</w:t>
            </w:r>
          </w:p>
        </w:tc>
        <w:tc>
          <w:tcPr>
            <w:tcW w:w="1230" w:type="dxa"/>
            <w:vAlign w:val="center"/>
          </w:tcPr>
          <w:p>
            <w:pPr>
              <w:widowControl/>
              <w:spacing w:line="240" w:lineRule="exact"/>
              <w:jc w:val="center"/>
              <w:rPr>
                <w:rFonts w:hint="eastAsia" w:ascii="Times New Roman" w:hAnsi="Times New Roman" w:eastAsia="仿宋_GB2312" w:cs="Times New Roman"/>
                <w:bCs/>
                <w:kern w:val="0"/>
                <w:sz w:val="20"/>
                <w:szCs w:val="20"/>
              </w:rPr>
            </w:pPr>
            <w:r>
              <w:rPr>
                <w:rFonts w:hint="eastAsia" w:ascii="Times New Roman" w:hAnsi="Times New Roman" w:eastAsia="仿宋_GB2312" w:cs="Times New Roman"/>
                <w:bCs/>
                <w:kern w:val="0"/>
                <w:sz w:val="20"/>
                <w:szCs w:val="20"/>
              </w:rPr>
              <w:t>13.4</w:t>
            </w:r>
          </w:p>
        </w:tc>
        <w:tc>
          <w:tcPr>
            <w:tcW w:w="2115" w:type="dxa"/>
            <w:vAlign w:val="center"/>
          </w:tcPr>
          <w:p>
            <w:pPr>
              <w:widowControl/>
              <w:spacing w:line="240" w:lineRule="exact"/>
              <w:jc w:val="center"/>
              <w:rPr>
                <w:rFonts w:hint="eastAsia" w:ascii="Times New Roman" w:hAnsi="Times New Roman" w:eastAsia="仿宋_GB2312" w:cs="Times New Roman"/>
                <w:bCs/>
                <w:kern w:val="0"/>
                <w:sz w:val="20"/>
                <w:szCs w:val="20"/>
              </w:rPr>
            </w:pPr>
            <w:r>
              <w:rPr>
                <w:rFonts w:hint="eastAsia" w:ascii="Times New Roman" w:hAnsi="Times New Roman" w:eastAsia="仿宋_GB2312" w:cs="Times New Roman"/>
                <w:bCs/>
                <w:kern w:val="0"/>
                <w:sz w:val="20"/>
                <w:szCs w:val="20"/>
              </w:rPr>
              <w:t>13.6</w:t>
            </w:r>
          </w:p>
        </w:tc>
        <w:tc>
          <w:tcPr>
            <w:tcW w:w="1445" w:type="dxa"/>
            <w:vAlign w:val="center"/>
          </w:tcPr>
          <w:p>
            <w:pPr>
              <w:widowControl/>
              <w:spacing w:line="240" w:lineRule="exact"/>
              <w:jc w:val="center"/>
              <w:rPr>
                <w:rFonts w:hint="eastAsia" w:ascii="仿宋_GB2312" w:hAnsi="仿宋_GB2312" w:eastAsia="仿宋_GB2312" w:cs="仿宋_GB2312"/>
                <w:bCs/>
                <w:color w:val="FF0000"/>
                <w:kern w:val="0"/>
                <w:sz w:val="20"/>
                <w:szCs w:val="20"/>
              </w:rPr>
            </w:pPr>
            <w:r>
              <w:rPr>
                <w:rFonts w:hint="eastAsia" w:ascii="仿宋_GB2312" w:hAnsi="仿宋_GB2312" w:eastAsia="仿宋_GB2312" w:cs="仿宋_GB2312"/>
                <w:bCs/>
                <w:color w:val="auto"/>
                <w:kern w:val="0"/>
                <w:sz w:val="20"/>
                <w:szCs w:val="20"/>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40" w:hRule="exact"/>
          <w:jc w:val="center"/>
        </w:trPr>
        <w:tc>
          <w:tcPr>
            <w:tcW w:w="340" w:type="dxa"/>
            <w:vMerge w:val="continue"/>
            <w:vAlign w:val="center"/>
          </w:tcPr>
          <w:p>
            <w:pPr>
              <w:widowControl/>
              <w:spacing w:line="240" w:lineRule="exact"/>
              <w:jc w:val="center"/>
              <w:rPr>
                <w:rFonts w:hint="eastAsia" w:ascii="黑体" w:hAnsi="黑体" w:eastAsia="黑体" w:cs="黑体"/>
                <w:b w:val="0"/>
                <w:bCs w:val="0"/>
                <w:kern w:val="0"/>
                <w:sz w:val="20"/>
                <w:szCs w:val="20"/>
              </w:rPr>
            </w:pPr>
          </w:p>
        </w:tc>
        <w:tc>
          <w:tcPr>
            <w:tcW w:w="2420" w:type="dxa"/>
            <w:tcBorders>
              <w:right w:val="single" w:color="auto" w:sz="4" w:space="0"/>
            </w:tcBorders>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农田灌溉水有效利用系数</w:t>
            </w:r>
          </w:p>
        </w:tc>
        <w:tc>
          <w:tcPr>
            <w:tcW w:w="970" w:type="dxa"/>
            <w:tcBorders>
              <w:left w:val="single" w:color="auto" w:sz="4" w:space="0"/>
            </w:tcBorders>
            <w:vAlign w:val="center"/>
          </w:tcPr>
          <w:p>
            <w:pPr>
              <w:widowControl/>
              <w:spacing w:line="240" w:lineRule="exact"/>
              <w:jc w:val="center"/>
              <w:rPr>
                <w:rFonts w:hint="eastAsia" w:ascii="仿宋_GB2312" w:hAnsi="仿宋_GB2312" w:eastAsia="仿宋_GB2312" w:cs="仿宋_GB2312"/>
                <w:bCs/>
                <w:kern w:val="0"/>
                <w:sz w:val="20"/>
                <w:szCs w:val="20"/>
              </w:rPr>
            </w:pPr>
          </w:p>
        </w:tc>
        <w:tc>
          <w:tcPr>
            <w:tcW w:w="1230" w:type="dxa"/>
            <w:vAlign w:val="center"/>
          </w:tcPr>
          <w:p>
            <w:pPr>
              <w:widowControl/>
              <w:spacing w:line="240" w:lineRule="exact"/>
              <w:jc w:val="center"/>
              <w:rPr>
                <w:rFonts w:hint="eastAsia" w:ascii="Times New Roman" w:hAnsi="Times New Roman" w:eastAsia="仿宋_GB2312" w:cs="Times New Roman"/>
                <w:bCs/>
                <w:kern w:val="0"/>
                <w:sz w:val="20"/>
                <w:szCs w:val="20"/>
              </w:rPr>
            </w:pPr>
            <w:r>
              <w:rPr>
                <w:rFonts w:hint="eastAsia" w:ascii="Times New Roman" w:hAnsi="Times New Roman" w:eastAsia="仿宋_GB2312" w:cs="Times New Roman"/>
                <w:bCs/>
                <w:kern w:val="0"/>
                <w:sz w:val="20"/>
                <w:szCs w:val="20"/>
              </w:rPr>
              <w:t>0.55</w:t>
            </w:r>
          </w:p>
        </w:tc>
        <w:tc>
          <w:tcPr>
            <w:tcW w:w="2115" w:type="dxa"/>
            <w:vAlign w:val="center"/>
          </w:tcPr>
          <w:p>
            <w:pPr>
              <w:widowControl/>
              <w:spacing w:line="240" w:lineRule="exact"/>
              <w:jc w:val="center"/>
              <w:rPr>
                <w:rFonts w:hint="eastAsia" w:ascii="Times New Roman" w:hAnsi="Times New Roman" w:eastAsia="仿宋_GB2312" w:cs="Times New Roman"/>
                <w:bCs/>
                <w:kern w:val="0"/>
                <w:sz w:val="20"/>
                <w:szCs w:val="20"/>
              </w:rPr>
            </w:pPr>
            <w:r>
              <w:rPr>
                <w:rFonts w:hint="eastAsia" w:ascii="Times New Roman" w:hAnsi="Times New Roman" w:eastAsia="仿宋_GB2312" w:cs="Times New Roman"/>
                <w:bCs/>
                <w:kern w:val="0"/>
                <w:sz w:val="20"/>
                <w:szCs w:val="20"/>
              </w:rPr>
              <w:t>&gt;0.60</w:t>
            </w:r>
          </w:p>
        </w:tc>
        <w:tc>
          <w:tcPr>
            <w:tcW w:w="1445" w:type="dxa"/>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exact"/>
          <w:jc w:val="center"/>
        </w:trPr>
        <w:tc>
          <w:tcPr>
            <w:tcW w:w="340" w:type="dxa"/>
            <w:vMerge w:val="restart"/>
            <w:vAlign w:val="center"/>
          </w:tcPr>
          <w:p>
            <w:pPr>
              <w:spacing w:line="240" w:lineRule="exact"/>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产地环境</w:t>
            </w:r>
          </w:p>
        </w:tc>
        <w:tc>
          <w:tcPr>
            <w:tcW w:w="2420" w:type="dxa"/>
            <w:tcBorders>
              <w:right w:val="single" w:color="auto" w:sz="4" w:space="0"/>
            </w:tcBorders>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化肥</w:t>
            </w:r>
            <w:r>
              <w:rPr>
                <w:rFonts w:hint="eastAsia" w:ascii="仿宋_GB2312" w:hAnsi="仿宋_GB2312" w:eastAsia="仿宋_GB2312" w:cs="仿宋_GB2312"/>
                <w:bCs/>
                <w:kern w:val="0"/>
                <w:sz w:val="20"/>
                <w:szCs w:val="20"/>
                <w:lang w:eastAsia="zh-CN"/>
              </w:rPr>
              <w:t>利</w:t>
            </w:r>
            <w:r>
              <w:rPr>
                <w:rFonts w:hint="eastAsia" w:ascii="仿宋_GB2312" w:hAnsi="仿宋_GB2312" w:eastAsia="仿宋_GB2312" w:cs="仿宋_GB2312"/>
                <w:bCs/>
                <w:kern w:val="0"/>
                <w:sz w:val="20"/>
                <w:szCs w:val="20"/>
              </w:rPr>
              <w:t>用率</w:t>
            </w:r>
          </w:p>
        </w:tc>
        <w:tc>
          <w:tcPr>
            <w:tcW w:w="970" w:type="dxa"/>
            <w:tcBorders>
              <w:left w:val="single" w:color="auto" w:sz="4" w:space="0"/>
            </w:tcBorders>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w:t>
            </w:r>
          </w:p>
        </w:tc>
        <w:tc>
          <w:tcPr>
            <w:tcW w:w="1230" w:type="dxa"/>
            <w:vAlign w:val="center"/>
          </w:tcPr>
          <w:p>
            <w:pPr>
              <w:widowControl/>
              <w:spacing w:line="240" w:lineRule="exact"/>
              <w:jc w:val="center"/>
              <w:rPr>
                <w:rFonts w:hint="eastAsia" w:ascii="Times New Roman" w:hAnsi="Times New Roman" w:eastAsia="仿宋_GB2312" w:cs="Times New Roman"/>
                <w:bCs/>
                <w:kern w:val="0"/>
                <w:sz w:val="20"/>
                <w:szCs w:val="20"/>
              </w:rPr>
            </w:pPr>
            <w:r>
              <w:rPr>
                <w:rFonts w:hint="eastAsia" w:ascii="Times New Roman" w:hAnsi="Times New Roman" w:eastAsia="仿宋_GB2312" w:cs="Times New Roman"/>
                <w:bCs/>
                <w:kern w:val="0"/>
                <w:sz w:val="20"/>
                <w:szCs w:val="20"/>
              </w:rPr>
              <w:t>40.1</w:t>
            </w:r>
          </w:p>
        </w:tc>
        <w:tc>
          <w:tcPr>
            <w:tcW w:w="2115" w:type="dxa"/>
            <w:vAlign w:val="center"/>
          </w:tcPr>
          <w:p>
            <w:pPr>
              <w:widowControl/>
              <w:spacing w:line="240" w:lineRule="exact"/>
              <w:jc w:val="center"/>
              <w:rPr>
                <w:rFonts w:hint="eastAsia" w:ascii="Times New Roman" w:hAnsi="Times New Roman" w:eastAsia="仿宋_GB2312" w:cs="Times New Roman"/>
                <w:bCs/>
                <w:kern w:val="0"/>
                <w:sz w:val="20"/>
                <w:szCs w:val="20"/>
              </w:rPr>
            </w:pPr>
            <w:r>
              <w:rPr>
                <w:rFonts w:hint="eastAsia" w:ascii="Times New Roman" w:hAnsi="Times New Roman" w:eastAsia="仿宋_GB2312" w:cs="Times New Roman"/>
                <w:bCs/>
                <w:kern w:val="0"/>
                <w:sz w:val="20"/>
                <w:szCs w:val="20"/>
              </w:rPr>
              <w:t>43</w:t>
            </w:r>
          </w:p>
        </w:tc>
        <w:tc>
          <w:tcPr>
            <w:tcW w:w="1445" w:type="dxa"/>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exact"/>
          <w:jc w:val="center"/>
        </w:trPr>
        <w:tc>
          <w:tcPr>
            <w:tcW w:w="340" w:type="dxa"/>
            <w:vMerge w:val="continue"/>
            <w:vAlign w:val="center"/>
          </w:tcPr>
          <w:p>
            <w:pPr>
              <w:widowControl/>
              <w:spacing w:line="240" w:lineRule="exact"/>
              <w:jc w:val="center"/>
              <w:rPr>
                <w:rFonts w:hint="eastAsia" w:ascii="黑体" w:hAnsi="黑体" w:eastAsia="黑体" w:cs="黑体"/>
                <w:b w:val="0"/>
                <w:bCs w:val="0"/>
                <w:kern w:val="0"/>
                <w:sz w:val="20"/>
                <w:szCs w:val="20"/>
              </w:rPr>
            </w:pPr>
          </w:p>
        </w:tc>
        <w:tc>
          <w:tcPr>
            <w:tcW w:w="2420" w:type="dxa"/>
            <w:tcBorders>
              <w:right w:val="single" w:color="auto" w:sz="4" w:space="0"/>
            </w:tcBorders>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农药</w:t>
            </w:r>
            <w:r>
              <w:rPr>
                <w:rFonts w:hint="eastAsia" w:ascii="仿宋_GB2312" w:hAnsi="仿宋_GB2312" w:eastAsia="仿宋_GB2312" w:cs="仿宋_GB2312"/>
                <w:bCs/>
                <w:kern w:val="0"/>
                <w:sz w:val="20"/>
                <w:szCs w:val="20"/>
                <w:lang w:eastAsia="zh-CN"/>
              </w:rPr>
              <w:t>利</w:t>
            </w:r>
            <w:r>
              <w:rPr>
                <w:rFonts w:hint="eastAsia" w:ascii="仿宋_GB2312" w:hAnsi="仿宋_GB2312" w:eastAsia="仿宋_GB2312" w:cs="仿宋_GB2312"/>
                <w:bCs/>
                <w:kern w:val="0"/>
                <w:sz w:val="20"/>
                <w:szCs w:val="20"/>
              </w:rPr>
              <w:t>用率</w:t>
            </w:r>
          </w:p>
        </w:tc>
        <w:tc>
          <w:tcPr>
            <w:tcW w:w="970" w:type="dxa"/>
            <w:tcBorders>
              <w:left w:val="single" w:color="auto" w:sz="4" w:space="0"/>
            </w:tcBorders>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w:t>
            </w:r>
          </w:p>
        </w:tc>
        <w:tc>
          <w:tcPr>
            <w:tcW w:w="1230" w:type="dxa"/>
            <w:vAlign w:val="center"/>
          </w:tcPr>
          <w:p>
            <w:pPr>
              <w:widowControl/>
              <w:spacing w:line="240" w:lineRule="exact"/>
              <w:jc w:val="center"/>
              <w:rPr>
                <w:rFonts w:hint="eastAsia" w:ascii="Times New Roman" w:hAnsi="Times New Roman" w:eastAsia="仿宋_GB2312" w:cs="Times New Roman"/>
                <w:bCs/>
                <w:kern w:val="0"/>
                <w:sz w:val="20"/>
                <w:szCs w:val="20"/>
              </w:rPr>
            </w:pPr>
            <w:r>
              <w:rPr>
                <w:rFonts w:hint="eastAsia" w:ascii="Times New Roman" w:hAnsi="Times New Roman" w:eastAsia="仿宋_GB2312" w:cs="Times New Roman"/>
                <w:bCs/>
                <w:kern w:val="0"/>
                <w:sz w:val="20"/>
                <w:szCs w:val="20"/>
              </w:rPr>
              <w:t>40.8</w:t>
            </w:r>
          </w:p>
        </w:tc>
        <w:tc>
          <w:tcPr>
            <w:tcW w:w="2115" w:type="dxa"/>
            <w:vAlign w:val="center"/>
          </w:tcPr>
          <w:p>
            <w:pPr>
              <w:widowControl/>
              <w:spacing w:line="240" w:lineRule="exact"/>
              <w:jc w:val="center"/>
              <w:rPr>
                <w:rFonts w:hint="eastAsia" w:ascii="Times New Roman" w:hAnsi="Times New Roman" w:eastAsia="仿宋_GB2312" w:cs="Times New Roman"/>
                <w:bCs/>
                <w:kern w:val="0"/>
                <w:sz w:val="20"/>
                <w:szCs w:val="20"/>
              </w:rPr>
            </w:pPr>
            <w:r>
              <w:rPr>
                <w:rFonts w:hint="eastAsia" w:ascii="Times New Roman" w:hAnsi="Times New Roman" w:eastAsia="仿宋_GB2312" w:cs="Times New Roman"/>
                <w:bCs/>
                <w:kern w:val="0"/>
                <w:sz w:val="20"/>
                <w:szCs w:val="20"/>
              </w:rPr>
              <w:t>43</w:t>
            </w:r>
          </w:p>
        </w:tc>
        <w:tc>
          <w:tcPr>
            <w:tcW w:w="1445" w:type="dxa"/>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exact"/>
          <w:jc w:val="center"/>
        </w:trPr>
        <w:tc>
          <w:tcPr>
            <w:tcW w:w="340" w:type="dxa"/>
            <w:vMerge w:val="continue"/>
            <w:vAlign w:val="center"/>
          </w:tcPr>
          <w:p>
            <w:pPr>
              <w:widowControl/>
              <w:spacing w:line="240" w:lineRule="exact"/>
              <w:jc w:val="center"/>
              <w:rPr>
                <w:rFonts w:hint="eastAsia" w:ascii="黑体" w:hAnsi="黑体" w:eastAsia="黑体" w:cs="黑体"/>
                <w:b w:val="0"/>
                <w:bCs w:val="0"/>
                <w:kern w:val="0"/>
                <w:sz w:val="20"/>
                <w:szCs w:val="20"/>
              </w:rPr>
            </w:pPr>
          </w:p>
        </w:tc>
        <w:tc>
          <w:tcPr>
            <w:tcW w:w="2420" w:type="dxa"/>
            <w:tcBorders>
              <w:right w:val="single" w:color="auto" w:sz="4" w:space="0"/>
            </w:tcBorders>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秸秆综合利用率</w:t>
            </w:r>
          </w:p>
        </w:tc>
        <w:tc>
          <w:tcPr>
            <w:tcW w:w="970" w:type="dxa"/>
            <w:tcBorders>
              <w:left w:val="single" w:color="auto" w:sz="4" w:space="0"/>
            </w:tcBorders>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w:t>
            </w:r>
          </w:p>
        </w:tc>
        <w:tc>
          <w:tcPr>
            <w:tcW w:w="1230" w:type="dxa"/>
            <w:vAlign w:val="center"/>
          </w:tcPr>
          <w:p>
            <w:pPr>
              <w:widowControl/>
              <w:spacing w:line="240" w:lineRule="exact"/>
              <w:jc w:val="center"/>
              <w:rPr>
                <w:rFonts w:hint="eastAsia" w:ascii="Times New Roman" w:hAnsi="Times New Roman" w:eastAsia="仿宋_GB2312" w:cs="Times New Roman"/>
                <w:bCs/>
                <w:kern w:val="0"/>
                <w:sz w:val="20"/>
                <w:szCs w:val="20"/>
              </w:rPr>
            </w:pPr>
            <w:r>
              <w:rPr>
                <w:rFonts w:hint="eastAsia" w:ascii="Times New Roman" w:hAnsi="Times New Roman" w:eastAsia="仿宋_GB2312" w:cs="Times New Roman"/>
                <w:bCs/>
                <w:kern w:val="0"/>
                <w:sz w:val="20"/>
                <w:szCs w:val="20"/>
              </w:rPr>
              <w:t>87.6</w:t>
            </w:r>
          </w:p>
        </w:tc>
        <w:tc>
          <w:tcPr>
            <w:tcW w:w="2115" w:type="dxa"/>
            <w:vAlign w:val="center"/>
          </w:tcPr>
          <w:p>
            <w:pPr>
              <w:widowControl/>
              <w:spacing w:line="240" w:lineRule="exact"/>
              <w:jc w:val="center"/>
              <w:rPr>
                <w:rFonts w:hint="eastAsia" w:ascii="Times New Roman" w:hAnsi="Times New Roman" w:eastAsia="仿宋_GB2312" w:cs="Times New Roman"/>
                <w:bCs/>
                <w:kern w:val="0"/>
                <w:sz w:val="20"/>
                <w:szCs w:val="20"/>
              </w:rPr>
            </w:pPr>
            <w:r>
              <w:rPr>
                <w:rFonts w:hint="eastAsia" w:ascii="Times New Roman" w:hAnsi="Times New Roman" w:eastAsia="仿宋_GB2312" w:cs="Times New Roman"/>
                <w:bCs/>
                <w:kern w:val="0"/>
                <w:sz w:val="20"/>
                <w:szCs w:val="20"/>
              </w:rPr>
              <w:t>90</w:t>
            </w:r>
          </w:p>
        </w:tc>
        <w:tc>
          <w:tcPr>
            <w:tcW w:w="1445" w:type="dxa"/>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exact"/>
          <w:jc w:val="center"/>
        </w:trPr>
        <w:tc>
          <w:tcPr>
            <w:tcW w:w="340" w:type="dxa"/>
            <w:vMerge w:val="continue"/>
            <w:vAlign w:val="center"/>
          </w:tcPr>
          <w:p>
            <w:pPr>
              <w:widowControl/>
              <w:spacing w:line="240" w:lineRule="exact"/>
              <w:jc w:val="center"/>
              <w:rPr>
                <w:rFonts w:hint="eastAsia" w:ascii="黑体" w:hAnsi="黑体" w:eastAsia="黑体" w:cs="黑体"/>
                <w:b w:val="0"/>
                <w:bCs w:val="0"/>
                <w:kern w:val="0"/>
                <w:sz w:val="20"/>
                <w:szCs w:val="20"/>
              </w:rPr>
            </w:pPr>
          </w:p>
        </w:tc>
        <w:tc>
          <w:tcPr>
            <w:tcW w:w="2420" w:type="dxa"/>
            <w:tcBorders>
              <w:right w:val="single" w:color="auto" w:sz="4" w:space="0"/>
            </w:tcBorders>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农用残膜回收率</w:t>
            </w:r>
          </w:p>
        </w:tc>
        <w:tc>
          <w:tcPr>
            <w:tcW w:w="970" w:type="dxa"/>
            <w:tcBorders>
              <w:left w:val="single" w:color="auto" w:sz="4" w:space="0"/>
            </w:tcBorders>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w:t>
            </w:r>
          </w:p>
        </w:tc>
        <w:tc>
          <w:tcPr>
            <w:tcW w:w="1230" w:type="dxa"/>
            <w:vAlign w:val="center"/>
          </w:tcPr>
          <w:p>
            <w:pPr>
              <w:widowControl/>
              <w:spacing w:line="240" w:lineRule="exact"/>
              <w:jc w:val="center"/>
              <w:rPr>
                <w:rFonts w:hint="eastAsia" w:ascii="Times New Roman" w:hAnsi="Times New Roman" w:eastAsia="仿宋_GB2312" w:cs="Times New Roman"/>
                <w:bCs/>
                <w:kern w:val="0"/>
                <w:sz w:val="20"/>
                <w:szCs w:val="20"/>
              </w:rPr>
            </w:pPr>
            <w:r>
              <w:rPr>
                <w:rFonts w:hint="eastAsia" w:ascii="Times New Roman" w:hAnsi="Times New Roman" w:eastAsia="仿宋_GB2312" w:cs="Times New Roman"/>
                <w:bCs/>
                <w:kern w:val="0"/>
                <w:sz w:val="20"/>
                <w:szCs w:val="20"/>
              </w:rPr>
              <w:t>85</w:t>
            </w:r>
          </w:p>
        </w:tc>
        <w:tc>
          <w:tcPr>
            <w:tcW w:w="2115" w:type="dxa"/>
            <w:vAlign w:val="center"/>
          </w:tcPr>
          <w:p>
            <w:pPr>
              <w:widowControl/>
              <w:spacing w:line="240" w:lineRule="exact"/>
              <w:jc w:val="center"/>
              <w:rPr>
                <w:rFonts w:hint="eastAsia" w:ascii="Times New Roman" w:hAnsi="Times New Roman" w:eastAsia="仿宋_GB2312" w:cs="Times New Roman"/>
                <w:bCs/>
                <w:kern w:val="0"/>
                <w:sz w:val="20"/>
                <w:szCs w:val="20"/>
              </w:rPr>
            </w:pPr>
            <w:r>
              <w:rPr>
                <w:rFonts w:hint="eastAsia" w:ascii="Times New Roman" w:hAnsi="Times New Roman" w:eastAsia="仿宋_GB2312" w:cs="Times New Roman"/>
                <w:bCs/>
                <w:kern w:val="0"/>
                <w:sz w:val="20"/>
                <w:szCs w:val="20"/>
              </w:rPr>
              <w:t>90</w:t>
            </w:r>
          </w:p>
        </w:tc>
        <w:tc>
          <w:tcPr>
            <w:tcW w:w="1445" w:type="dxa"/>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exact"/>
          <w:jc w:val="center"/>
        </w:trPr>
        <w:tc>
          <w:tcPr>
            <w:tcW w:w="340" w:type="dxa"/>
            <w:vMerge w:val="continue"/>
            <w:vAlign w:val="center"/>
          </w:tcPr>
          <w:p>
            <w:pPr>
              <w:widowControl/>
              <w:spacing w:line="240" w:lineRule="exact"/>
              <w:jc w:val="center"/>
              <w:rPr>
                <w:rFonts w:hint="eastAsia" w:ascii="黑体" w:hAnsi="黑体" w:eastAsia="黑体" w:cs="黑体"/>
                <w:b w:val="0"/>
                <w:bCs w:val="0"/>
                <w:kern w:val="0"/>
                <w:sz w:val="20"/>
                <w:szCs w:val="20"/>
              </w:rPr>
            </w:pPr>
          </w:p>
        </w:tc>
        <w:tc>
          <w:tcPr>
            <w:tcW w:w="2420" w:type="dxa"/>
            <w:tcBorders>
              <w:right w:val="single" w:color="auto" w:sz="4" w:space="0"/>
            </w:tcBorders>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畜禽粪污综合利用率</w:t>
            </w:r>
          </w:p>
        </w:tc>
        <w:tc>
          <w:tcPr>
            <w:tcW w:w="970" w:type="dxa"/>
            <w:tcBorders>
              <w:left w:val="single" w:color="auto" w:sz="4" w:space="0"/>
            </w:tcBorders>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w:t>
            </w:r>
          </w:p>
        </w:tc>
        <w:tc>
          <w:tcPr>
            <w:tcW w:w="1230" w:type="dxa"/>
            <w:vAlign w:val="center"/>
          </w:tcPr>
          <w:p>
            <w:pPr>
              <w:widowControl/>
              <w:spacing w:line="240" w:lineRule="exact"/>
              <w:jc w:val="center"/>
              <w:rPr>
                <w:rFonts w:hint="eastAsia" w:ascii="Times New Roman" w:hAnsi="Times New Roman" w:eastAsia="仿宋_GB2312" w:cs="Times New Roman"/>
                <w:bCs/>
                <w:kern w:val="0"/>
                <w:sz w:val="20"/>
                <w:szCs w:val="20"/>
              </w:rPr>
            </w:pPr>
            <w:r>
              <w:rPr>
                <w:rFonts w:hint="eastAsia" w:ascii="Times New Roman" w:hAnsi="Times New Roman" w:eastAsia="仿宋_GB2312" w:cs="Times New Roman"/>
                <w:bCs/>
                <w:kern w:val="0"/>
                <w:sz w:val="20"/>
                <w:szCs w:val="20"/>
              </w:rPr>
              <w:t>90</w:t>
            </w:r>
          </w:p>
        </w:tc>
        <w:tc>
          <w:tcPr>
            <w:tcW w:w="2115" w:type="dxa"/>
            <w:vAlign w:val="center"/>
          </w:tcPr>
          <w:p>
            <w:pPr>
              <w:widowControl/>
              <w:spacing w:line="240" w:lineRule="exact"/>
              <w:jc w:val="center"/>
              <w:rPr>
                <w:rFonts w:hint="eastAsia" w:ascii="Times New Roman" w:hAnsi="Times New Roman" w:eastAsia="仿宋_GB2312" w:cs="Times New Roman"/>
                <w:bCs/>
                <w:kern w:val="0"/>
                <w:sz w:val="20"/>
                <w:szCs w:val="20"/>
              </w:rPr>
            </w:pPr>
            <w:r>
              <w:rPr>
                <w:rFonts w:hint="eastAsia" w:ascii="Times New Roman" w:hAnsi="Times New Roman" w:eastAsia="仿宋_GB2312" w:cs="Times New Roman"/>
                <w:bCs/>
                <w:kern w:val="0"/>
                <w:sz w:val="20"/>
                <w:szCs w:val="20"/>
              </w:rPr>
              <w:t>&gt;90</w:t>
            </w:r>
          </w:p>
        </w:tc>
        <w:tc>
          <w:tcPr>
            <w:tcW w:w="1445" w:type="dxa"/>
            <w:vAlign w:val="center"/>
          </w:tcPr>
          <w:p>
            <w:pPr>
              <w:widowControl/>
              <w:spacing w:line="240" w:lineRule="exact"/>
              <w:jc w:val="center"/>
              <w:rPr>
                <w:rFonts w:hint="eastAsia" w:ascii="仿宋_GB2312" w:hAnsi="仿宋_GB2312" w:eastAsia="仿宋_GB2312" w:cs="仿宋_GB2312"/>
                <w:bCs/>
                <w:kern w:val="0"/>
                <w:sz w:val="20"/>
                <w:szCs w:val="20"/>
              </w:rPr>
            </w:pPr>
            <w:bookmarkStart w:id="89" w:name="OLE_LINK3"/>
            <w:r>
              <w:rPr>
                <w:rFonts w:hint="eastAsia" w:ascii="仿宋_GB2312" w:hAnsi="仿宋_GB2312" w:eastAsia="仿宋_GB2312" w:cs="仿宋_GB2312"/>
                <w:bCs/>
                <w:kern w:val="0"/>
                <w:sz w:val="20"/>
                <w:szCs w:val="20"/>
              </w:rPr>
              <w:t>预期</w:t>
            </w:r>
            <w:bookmarkEnd w:id="89"/>
            <w:r>
              <w:rPr>
                <w:rFonts w:hint="eastAsia" w:ascii="仿宋_GB2312" w:hAnsi="仿宋_GB2312" w:eastAsia="仿宋_GB2312" w:cs="仿宋_GB2312"/>
                <w:bCs/>
                <w:kern w:val="0"/>
                <w:sz w:val="20"/>
                <w:szCs w:val="20"/>
              </w:rPr>
              <w:t>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exact"/>
          <w:jc w:val="center"/>
        </w:trPr>
        <w:tc>
          <w:tcPr>
            <w:tcW w:w="340" w:type="dxa"/>
            <w:vMerge w:val="restart"/>
            <w:vAlign w:val="center"/>
          </w:tcPr>
          <w:p>
            <w:pPr>
              <w:spacing w:line="240" w:lineRule="exact"/>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农业生态</w:t>
            </w:r>
          </w:p>
        </w:tc>
        <w:tc>
          <w:tcPr>
            <w:tcW w:w="2420" w:type="dxa"/>
            <w:tcBorders>
              <w:right w:val="single" w:color="auto" w:sz="4" w:space="0"/>
            </w:tcBorders>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kern w:val="0"/>
                <w:sz w:val="20"/>
                <w:szCs w:val="20"/>
              </w:rPr>
              <w:t>草原综合植被覆盖度</w:t>
            </w:r>
          </w:p>
        </w:tc>
        <w:tc>
          <w:tcPr>
            <w:tcW w:w="970" w:type="dxa"/>
            <w:tcBorders>
              <w:left w:val="single" w:color="auto" w:sz="4" w:space="0"/>
            </w:tcBorders>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w:t>
            </w:r>
          </w:p>
        </w:tc>
        <w:tc>
          <w:tcPr>
            <w:tcW w:w="1230" w:type="dxa"/>
            <w:vAlign w:val="center"/>
          </w:tcPr>
          <w:p>
            <w:pPr>
              <w:widowControl/>
              <w:spacing w:line="240" w:lineRule="exact"/>
              <w:jc w:val="center"/>
              <w:rPr>
                <w:rFonts w:hint="eastAsia" w:ascii="Times New Roman" w:hAnsi="Times New Roman" w:eastAsia="仿宋_GB2312" w:cs="Times New Roman"/>
                <w:bCs/>
                <w:kern w:val="0"/>
                <w:sz w:val="20"/>
                <w:szCs w:val="20"/>
              </w:rPr>
            </w:pPr>
            <w:r>
              <w:rPr>
                <w:rFonts w:hint="eastAsia" w:ascii="Times New Roman" w:hAnsi="Times New Roman" w:eastAsia="仿宋_GB2312" w:cs="Times New Roman"/>
                <w:bCs/>
                <w:kern w:val="0"/>
                <w:sz w:val="20"/>
                <w:szCs w:val="20"/>
              </w:rPr>
              <w:t>56.5</w:t>
            </w:r>
          </w:p>
        </w:tc>
        <w:tc>
          <w:tcPr>
            <w:tcW w:w="2115" w:type="dxa"/>
            <w:vAlign w:val="center"/>
          </w:tcPr>
          <w:p>
            <w:pPr>
              <w:widowControl/>
              <w:spacing w:line="240" w:lineRule="exact"/>
              <w:jc w:val="center"/>
              <w:rPr>
                <w:rFonts w:hint="eastAsia" w:ascii="Times New Roman" w:hAnsi="Times New Roman" w:eastAsia="仿宋_GB2312" w:cs="Times New Roman"/>
                <w:bCs/>
                <w:kern w:val="0"/>
                <w:sz w:val="20"/>
                <w:szCs w:val="20"/>
              </w:rPr>
            </w:pPr>
            <w:r>
              <w:rPr>
                <w:rFonts w:hint="eastAsia" w:ascii="Times New Roman" w:hAnsi="Times New Roman" w:eastAsia="仿宋_GB2312" w:cs="Times New Roman"/>
                <w:bCs/>
                <w:kern w:val="0"/>
                <w:sz w:val="20"/>
                <w:szCs w:val="20"/>
              </w:rPr>
              <w:t>57</w:t>
            </w:r>
          </w:p>
        </w:tc>
        <w:tc>
          <w:tcPr>
            <w:tcW w:w="1445" w:type="dxa"/>
            <w:vAlign w:val="center"/>
          </w:tcPr>
          <w:p>
            <w:pPr>
              <w:widowControl/>
              <w:spacing w:line="240" w:lineRule="exact"/>
              <w:jc w:val="center"/>
              <w:rPr>
                <w:rFonts w:hint="eastAsia" w:ascii="仿宋_GB2312" w:hAnsi="仿宋_GB2312" w:eastAsia="仿宋_GB2312" w:cs="仿宋_GB2312"/>
                <w:bCs/>
                <w:color w:val="auto"/>
                <w:kern w:val="0"/>
                <w:sz w:val="20"/>
                <w:szCs w:val="20"/>
              </w:rPr>
            </w:pPr>
            <w:r>
              <w:rPr>
                <w:rFonts w:hint="eastAsia" w:ascii="仿宋_GB2312" w:hAnsi="仿宋_GB2312" w:eastAsia="仿宋_GB2312" w:cs="仿宋_GB2312"/>
                <w:bCs/>
                <w:color w:val="auto"/>
                <w:kern w:val="0"/>
                <w:sz w:val="20"/>
                <w:szCs w:val="20"/>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exact"/>
          <w:jc w:val="center"/>
        </w:trPr>
        <w:tc>
          <w:tcPr>
            <w:tcW w:w="340" w:type="dxa"/>
            <w:vMerge w:val="continue"/>
            <w:vAlign w:val="center"/>
          </w:tcPr>
          <w:p>
            <w:pPr>
              <w:widowControl/>
              <w:spacing w:line="240" w:lineRule="exact"/>
              <w:jc w:val="center"/>
              <w:rPr>
                <w:rFonts w:hint="eastAsia" w:ascii="黑体" w:hAnsi="黑体" w:eastAsia="黑体" w:cs="黑体"/>
                <w:b w:val="0"/>
                <w:bCs w:val="0"/>
                <w:kern w:val="0"/>
                <w:sz w:val="20"/>
                <w:szCs w:val="20"/>
              </w:rPr>
            </w:pPr>
          </w:p>
        </w:tc>
        <w:tc>
          <w:tcPr>
            <w:tcW w:w="2420" w:type="dxa"/>
            <w:tcBorders>
              <w:right w:val="single" w:color="auto" w:sz="4" w:space="0"/>
            </w:tcBorders>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kern w:val="0"/>
                <w:sz w:val="20"/>
                <w:szCs w:val="20"/>
              </w:rPr>
              <w:t>森林覆盖率</w:t>
            </w:r>
          </w:p>
        </w:tc>
        <w:tc>
          <w:tcPr>
            <w:tcW w:w="970" w:type="dxa"/>
            <w:tcBorders>
              <w:left w:val="single" w:color="auto" w:sz="4" w:space="0"/>
            </w:tcBorders>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w:t>
            </w:r>
          </w:p>
        </w:tc>
        <w:tc>
          <w:tcPr>
            <w:tcW w:w="1230" w:type="dxa"/>
            <w:vAlign w:val="center"/>
          </w:tcPr>
          <w:p>
            <w:pPr>
              <w:widowControl/>
              <w:spacing w:line="240" w:lineRule="exact"/>
              <w:jc w:val="center"/>
              <w:rPr>
                <w:rFonts w:hint="eastAsia" w:ascii="Times New Roman" w:hAnsi="Times New Roman" w:eastAsia="仿宋_GB2312" w:cs="Times New Roman"/>
                <w:bCs/>
                <w:kern w:val="0"/>
                <w:sz w:val="20"/>
                <w:szCs w:val="20"/>
              </w:rPr>
            </w:pPr>
            <w:r>
              <w:rPr>
                <w:rFonts w:hint="eastAsia" w:ascii="Times New Roman" w:hAnsi="Times New Roman" w:eastAsia="仿宋_GB2312" w:cs="Times New Roman"/>
                <w:bCs/>
                <w:kern w:val="0"/>
                <w:sz w:val="20"/>
                <w:szCs w:val="20"/>
              </w:rPr>
              <w:t>15.8</w:t>
            </w:r>
          </w:p>
        </w:tc>
        <w:tc>
          <w:tcPr>
            <w:tcW w:w="2115" w:type="dxa"/>
            <w:vAlign w:val="center"/>
          </w:tcPr>
          <w:p>
            <w:pPr>
              <w:widowControl/>
              <w:spacing w:line="240" w:lineRule="exact"/>
              <w:jc w:val="center"/>
              <w:rPr>
                <w:rFonts w:hint="eastAsia" w:ascii="Times New Roman" w:hAnsi="Times New Roman" w:eastAsia="仿宋_GB2312" w:cs="Times New Roman"/>
                <w:bCs/>
                <w:kern w:val="0"/>
                <w:sz w:val="20"/>
                <w:szCs w:val="20"/>
              </w:rPr>
            </w:pPr>
            <w:r>
              <w:rPr>
                <w:rFonts w:hint="eastAsia" w:ascii="Times New Roman" w:hAnsi="Times New Roman" w:eastAsia="仿宋_GB2312" w:cs="Times New Roman"/>
                <w:bCs/>
                <w:kern w:val="0"/>
                <w:sz w:val="20"/>
                <w:szCs w:val="20"/>
              </w:rPr>
              <w:t>20</w:t>
            </w:r>
          </w:p>
        </w:tc>
        <w:tc>
          <w:tcPr>
            <w:tcW w:w="1445" w:type="dxa"/>
            <w:vAlign w:val="center"/>
          </w:tcPr>
          <w:p>
            <w:pPr>
              <w:widowControl/>
              <w:spacing w:line="240" w:lineRule="exact"/>
              <w:jc w:val="center"/>
              <w:rPr>
                <w:rFonts w:hint="eastAsia" w:ascii="仿宋_GB2312" w:hAnsi="仿宋_GB2312" w:eastAsia="仿宋_GB2312" w:cs="仿宋_GB2312"/>
                <w:color w:val="auto"/>
                <w:kern w:val="0"/>
                <w:sz w:val="20"/>
                <w:szCs w:val="20"/>
              </w:rPr>
            </w:pPr>
            <w:r>
              <w:rPr>
                <w:rFonts w:hint="eastAsia" w:ascii="仿宋_GB2312" w:hAnsi="仿宋_GB2312" w:eastAsia="仿宋_GB2312" w:cs="仿宋_GB2312"/>
                <w:bCs/>
                <w:color w:val="auto"/>
                <w:kern w:val="0"/>
                <w:sz w:val="20"/>
                <w:szCs w:val="20"/>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exact"/>
          <w:jc w:val="center"/>
        </w:trPr>
        <w:tc>
          <w:tcPr>
            <w:tcW w:w="340" w:type="dxa"/>
            <w:vMerge w:val="continue"/>
            <w:vAlign w:val="center"/>
          </w:tcPr>
          <w:p>
            <w:pPr>
              <w:widowControl/>
              <w:spacing w:line="240" w:lineRule="exact"/>
              <w:jc w:val="center"/>
              <w:rPr>
                <w:rFonts w:hint="eastAsia" w:ascii="黑体" w:hAnsi="黑体" w:eastAsia="黑体" w:cs="黑体"/>
                <w:b w:val="0"/>
                <w:bCs w:val="0"/>
                <w:kern w:val="0"/>
                <w:sz w:val="20"/>
                <w:szCs w:val="20"/>
              </w:rPr>
            </w:pPr>
          </w:p>
        </w:tc>
        <w:tc>
          <w:tcPr>
            <w:tcW w:w="2420" w:type="dxa"/>
            <w:tcBorders>
              <w:right w:val="single" w:color="auto" w:sz="4" w:space="0"/>
            </w:tcBorders>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kern w:val="0"/>
                <w:sz w:val="20"/>
                <w:szCs w:val="20"/>
              </w:rPr>
              <w:t>湿地保护率</w:t>
            </w:r>
          </w:p>
        </w:tc>
        <w:tc>
          <w:tcPr>
            <w:tcW w:w="970" w:type="dxa"/>
            <w:tcBorders>
              <w:left w:val="single" w:color="auto" w:sz="4" w:space="0"/>
            </w:tcBorders>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w:t>
            </w:r>
          </w:p>
        </w:tc>
        <w:tc>
          <w:tcPr>
            <w:tcW w:w="1230" w:type="dxa"/>
            <w:vAlign w:val="center"/>
          </w:tcPr>
          <w:p>
            <w:pPr>
              <w:widowControl/>
              <w:spacing w:line="240" w:lineRule="exact"/>
              <w:jc w:val="center"/>
              <w:rPr>
                <w:rFonts w:hint="eastAsia" w:ascii="Times New Roman" w:hAnsi="Times New Roman" w:eastAsia="仿宋_GB2312" w:cs="Times New Roman"/>
                <w:bCs/>
                <w:kern w:val="0"/>
                <w:sz w:val="20"/>
                <w:szCs w:val="20"/>
              </w:rPr>
            </w:pPr>
            <w:r>
              <w:rPr>
                <w:rFonts w:hint="eastAsia" w:ascii="Times New Roman" w:hAnsi="Times New Roman" w:eastAsia="仿宋_GB2312" w:cs="Times New Roman"/>
                <w:bCs/>
                <w:kern w:val="0"/>
                <w:sz w:val="20"/>
                <w:szCs w:val="20"/>
              </w:rPr>
              <w:t>55</w:t>
            </w:r>
          </w:p>
        </w:tc>
        <w:tc>
          <w:tcPr>
            <w:tcW w:w="2115" w:type="dxa"/>
            <w:vAlign w:val="center"/>
          </w:tcPr>
          <w:p>
            <w:pPr>
              <w:widowControl/>
              <w:spacing w:line="240" w:lineRule="exact"/>
              <w:jc w:val="center"/>
              <w:rPr>
                <w:rFonts w:hint="eastAsia" w:ascii="Times New Roman" w:hAnsi="Times New Roman" w:eastAsia="仿宋_GB2312" w:cs="Times New Roman"/>
                <w:bCs/>
                <w:kern w:val="0"/>
                <w:sz w:val="20"/>
                <w:szCs w:val="20"/>
              </w:rPr>
            </w:pPr>
            <w:r>
              <w:rPr>
                <w:rFonts w:hint="eastAsia" w:ascii="Times New Roman" w:hAnsi="Times New Roman" w:eastAsia="仿宋_GB2312" w:cs="Times New Roman"/>
                <w:bCs/>
                <w:kern w:val="0"/>
                <w:sz w:val="20"/>
                <w:szCs w:val="20"/>
              </w:rPr>
              <w:t>58</w:t>
            </w:r>
          </w:p>
        </w:tc>
        <w:tc>
          <w:tcPr>
            <w:tcW w:w="1445" w:type="dxa"/>
            <w:vAlign w:val="center"/>
          </w:tcPr>
          <w:p>
            <w:pPr>
              <w:widowControl/>
              <w:spacing w:line="240" w:lineRule="exact"/>
              <w:jc w:val="center"/>
              <w:rPr>
                <w:rFonts w:hint="eastAsia" w:ascii="仿宋_GB2312" w:hAnsi="仿宋_GB2312" w:eastAsia="仿宋_GB2312" w:cs="仿宋_GB2312"/>
                <w:bCs/>
                <w:color w:val="auto"/>
                <w:kern w:val="0"/>
                <w:sz w:val="20"/>
                <w:szCs w:val="20"/>
              </w:rPr>
            </w:pPr>
            <w:r>
              <w:rPr>
                <w:rFonts w:hint="eastAsia" w:ascii="仿宋_GB2312" w:hAnsi="仿宋_GB2312" w:eastAsia="仿宋_GB2312" w:cs="仿宋_GB2312"/>
                <w:bCs/>
                <w:kern w:val="0"/>
                <w:sz w:val="20"/>
                <w:szCs w:val="20"/>
              </w:rPr>
              <w:t>预期</w:t>
            </w:r>
            <w:r>
              <w:rPr>
                <w:rFonts w:hint="eastAsia" w:ascii="仿宋_GB2312" w:hAnsi="仿宋_GB2312" w:eastAsia="仿宋_GB2312" w:cs="仿宋_GB2312"/>
                <w:bCs/>
                <w:color w:val="auto"/>
                <w:kern w:val="0"/>
                <w:sz w:val="20"/>
                <w:szCs w:val="20"/>
              </w:rPr>
              <w:t>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exact"/>
          <w:jc w:val="center"/>
        </w:trPr>
        <w:tc>
          <w:tcPr>
            <w:tcW w:w="340" w:type="dxa"/>
            <w:vMerge w:val="restart"/>
            <w:vAlign w:val="center"/>
          </w:tcPr>
          <w:p>
            <w:pPr>
              <w:spacing w:line="240" w:lineRule="exact"/>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绿色供给</w:t>
            </w:r>
          </w:p>
        </w:tc>
        <w:tc>
          <w:tcPr>
            <w:tcW w:w="2420" w:type="dxa"/>
            <w:tcBorders>
              <w:right w:val="single" w:color="auto" w:sz="4" w:space="0"/>
            </w:tcBorders>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粮食生产</w:t>
            </w:r>
          </w:p>
        </w:tc>
        <w:tc>
          <w:tcPr>
            <w:tcW w:w="970" w:type="dxa"/>
            <w:tcBorders>
              <w:left w:val="single" w:color="auto" w:sz="4" w:space="0"/>
            </w:tcBorders>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万</w:t>
            </w:r>
            <w:r>
              <w:rPr>
                <w:rFonts w:hint="eastAsia" w:ascii="仿宋_GB2312" w:hAnsi="仿宋_GB2312" w:eastAsia="仿宋_GB2312" w:cs="仿宋_GB2312"/>
                <w:bCs/>
                <w:kern w:val="0"/>
                <w:sz w:val="20"/>
                <w:szCs w:val="20"/>
                <w:lang w:eastAsia="zh-CN"/>
              </w:rPr>
              <w:t>吨</w:t>
            </w:r>
          </w:p>
        </w:tc>
        <w:tc>
          <w:tcPr>
            <w:tcW w:w="1230" w:type="dxa"/>
            <w:vAlign w:val="center"/>
          </w:tcPr>
          <w:p>
            <w:pPr>
              <w:widowControl/>
              <w:spacing w:line="240" w:lineRule="exact"/>
              <w:jc w:val="center"/>
              <w:rPr>
                <w:rFonts w:hint="eastAsia" w:ascii="Times New Roman" w:hAnsi="Times New Roman" w:eastAsia="仿宋_GB2312" w:cs="Times New Roman"/>
                <w:bCs/>
                <w:kern w:val="0"/>
                <w:sz w:val="20"/>
                <w:szCs w:val="20"/>
              </w:rPr>
            </w:pPr>
            <w:r>
              <w:rPr>
                <w:rFonts w:hint="eastAsia" w:ascii="Times New Roman" w:hAnsi="Times New Roman" w:eastAsia="仿宋_GB2312" w:cs="Times New Roman"/>
                <w:bCs/>
                <w:kern w:val="0"/>
                <w:sz w:val="20"/>
                <w:szCs w:val="20"/>
              </w:rPr>
              <w:t>380</w:t>
            </w:r>
          </w:p>
        </w:tc>
        <w:tc>
          <w:tcPr>
            <w:tcW w:w="2115" w:type="dxa"/>
            <w:vAlign w:val="center"/>
          </w:tcPr>
          <w:p>
            <w:pPr>
              <w:widowControl/>
              <w:spacing w:line="240" w:lineRule="exact"/>
              <w:jc w:val="center"/>
              <w:rPr>
                <w:rFonts w:hint="eastAsia" w:ascii="Times New Roman" w:hAnsi="Times New Roman" w:eastAsia="仿宋_GB2312" w:cs="Times New Roman"/>
                <w:bCs/>
                <w:kern w:val="0"/>
                <w:sz w:val="20"/>
                <w:szCs w:val="20"/>
              </w:rPr>
            </w:pPr>
            <w:r>
              <w:rPr>
                <w:rFonts w:hint="eastAsia" w:ascii="Times New Roman" w:hAnsi="Times New Roman" w:eastAsia="仿宋_GB2312" w:cs="Times New Roman"/>
                <w:bCs/>
                <w:kern w:val="0"/>
                <w:sz w:val="20"/>
                <w:szCs w:val="20"/>
              </w:rPr>
              <w:t>380</w:t>
            </w:r>
          </w:p>
        </w:tc>
        <w:tc>
          <w:tcPr>
            <w:tcW w:w="1445" w:type="dxa"/>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85" w:hRule="exact"/>
          <w:jc w:val="center"/>
        </w:trPr>
        <w:tc>
          <w:tcPr>
            <w:tcW w:w="340" w:type="dxa"/>
            <w:vMerge w:val="continue"/>
            <w:vAlign w:val="center"/>
          </w:tcPr>
          <w:p>
            <w:pPr>
              <w:widowControl/>
              <w:spacing w:line="240" w:lineRule="exact"/>
              <w:jc w:val="center"/>
              <w:rPr>
                <w:rFonts w:hint="eastAsia" w:ascii="黑体" w:hAnsi="黑体" w:eastAsia="黑体" w:cs="黑体"/>
                <w:b w:val="0"/>
                <w:bCs w:val="0"/>
                <w:kern w:val="0"/>
                <w:sz w:val="20"/>
                <w:szCs w:val="20"/>
              </w:rPr>
            </w:pPr>
          </w:p>
        </w:tc>
        <w:tc>
          <w:tcPr>
            <w:tcW w:w="2420" w:type="dxa"/>
            <w:tcBorders>
              <w:right w:val="single" w:color="auto" w:sz="4" w:space="0"/>
            </w:tcBorders>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绿色、有机、地理标志</w:t>
            </w:r>
            <w:r>
              <w:rPr>
                <w:rFonts w:hint="eastAsia" w:ascii="仿宋_GB2312" w:hAnsi="仿宋_GB2312" w:eastAsia="仿宋_GB2312" w:cs="仿宋_GB2312"/>
                <w:bCs/>
                <w:kern w:val="0"/>
                <w:sz w:val="20"/>
                <w:szCs w:val="20"/>
                <w:lang w:val="en-US" w:eastAsia="zh-CN"/>
              </w:rPr>
              <w:t xml:space="preserve">   </w:t>
            </w:r>
            <w:r>
              <w:rPr>
                <w:rFonts w:hint="eastAsia" w:ascii="仿宋_GB2312" w:hAnsi="仿宋_GB2312" w:eastAsia="仿宋_GB2312" w:cs="仿宋_GB2312"/>
                <w:bCs/>
                <w:kern w:val="0"/>
                <w:sz w:val="20"/>
                <w:szCs w:val="20"/>
              </w:rPr>
              <w:t>农产品数量</w:t>
            </w:r>
          </w:p>
        </w:tc>
        <w:tc>
          <w:tcPr>
            <w:tcW w:w="970" w:type="dxa"/>
            <w:tcBorders>
              <w:left w:val="single" w:color="auto" w:sz="4" w:space="0"/>
            </w:tcBorders>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个</w:t>
            </w:r>
          </w:p>
        </w:tc>
        <w:tc>
          <w:tcPr>
            <w:tcW w:w="1230" w:type="dxa"/>
            <w:vAlign w:val="center"/>
          </w:tcPr>
          <w:p>
            <w:pPr>
              <w:widowControl/>
              <w:spacing w:line="240" w:lineRule="exact"/>
              <w:jc w:val="center"/>
              <w:rPr>
                <w:rFonts w:hint="eastAsia" w:ascii="Times New Roman" w:hAnsi="Times New Roman" w:eastAsia="仿宋_GB2312" w:cs="Times New Roman"/>
                <w:bCs/>
                <w:kern w:val="0"/>
                <w:sz w:val="20"/>
                <w:szCs w:val="20"/>
              </w:rPr>
            </w:pPr>
            <w:r>
              <w:rPr>
                <w:rFonts w:hint="eastAsia" w:ascii="Times New Roman" w:hAnsi="Times New Roman" w:eastAsia="仿宋_GB2312" w:cs="Times New Roman"/>
                <w:bCs/>
                <w:kern w:val="0"/>
                <w:sz w:val="20"/>
                <w:szCs w:val="20"/>
              </w:rPr>
              <w:t>374</w:t>
            </w:r>
          </w:p>
        </w:tc>
        <w:tc>
          <w:tcPr>
            <w:tcW w:w="2115" w:type="dxa"/>
            <w:vAlign w:val="center"/>
          </w:tcPr>
          <w:p>
            <w:pPr>
              <w:widowControl/>
              <w:spacing w:line="240" w:lineRule="exact"/>
              <w:jc w:val="center"/>
              <w:rPr>
                <w:rFonts w:hint="eastAsia" w:ascii="Times New Roman" w:hAnsi="Times New Roman" w:eastAsia="仿宋_GB2312" w:cs="Times New Roman"/>
                <w:bCs/>
                <w:kern w:val="0"/>
                <w:sz w:val="20"/>
                <w:szCs w:val="20"/>
              </w:rPr>
            </w:pPr>
            <w:r>
              <w:rPr>
                <w:rFonts w:hint="eastAsia" w:ascii="Times New Roman" w:hAnsi="Times New Roman" w:eastAsia="仿宋_GB2312" w:cs="Times New Roman"/>
                <w:bCs/>
                <w:kern w:val="0"/>
                <w:sz w:val="20"/>
                <w:szCs w:val="20"/>
              </w:rPr>
              <w:t>1250</w:t>
            </w:r>
          </w:p>
        </w:tc>
        <w:tc>
          <w:tcPr>
            <w:tcW w:w="1445" w:type="dxa"/>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603" w:hRule="exact"/>
          <w:jc w:val="center"/>
        </w:trPr>
        <w:tc>
          <w:tcPr>
            <w:tcW w:w="340" w:type="dxa"/>
            <w:vMerge w:val="continue"/>
            <w:vAlign w:val="center"/>
          </w:tcPr>
          <w:p>
            <w:pPr>
              <w:widowControl/>
              <w:spacing w:line="240" w:lineRule="exact"/>
              <w:jc w:val="center"/>
              <w:rPr>
                <w:rFonts w:hint="eastAsia" w:ascii="黑体" w:hAnsi="黑体" w:eastAsia="黑体" w:cs="黑体"/>
                <w:b w:val="0"/>
                <w:bCs w:val="0"/>
                <w:kern w:val="0"/>
                <w:sz w:val="20"/>
                <w:szCs w:val="20"/>
              </w:rPr>
            </w:pPr>
          </w:p>
        </w:tc>
        <w:tc>
          <w:tcPr>
            <w:tcW w:w="2420" w:type="dxa"/>
            <w:tcBorders>
              <w:right w:val="single" w:color="auto" w:sz="4" w:space="0"/>
            </w:tcBorders>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农产品质量安全例行</w:t>
            </w:r>
            <w:r>
              <w:rPr>
                <w:rFonts w:hint="eastAsia" w:ascii="仿宋_GB2312" w:hAnsi="仿宋_GB2312" w:eastAsia="仿宋_GB2312" w:cs="仿宋_GB2312"/>
                <w:bCs/>
                <w:kern w:val="0"/>
                <w:sz w:val="20"/>
                <w:szCs w:val="20"/>
                <w:lang w:val="en-US" w:eastAsia="zh-CN"/>
              </w:rPr>
              <w:t xml:space="preserve">   </w:t>
            </w:r>
            <w:r>
              <w:rPr>
                <w:rFonts w:hint="eastAsia" w:ascii="仿宋_GB2312" w:hAnsi="仿宋_GB2312" w:eastAsia="仿宋_GB2312" w:cs="仿宋_GB2312"/>
                <w:bCs/>
                <w:kern w:val="0"/>
                <w:sz w:val="20"/>
                <w:szCs w:val="20"/>
              </w:rPr>
              <w:t>监测合格率</w:t>
            </w:r>
          </w:p>
        </w:tc>
        <w:tc>
          <w:tcPr>
            <w:tcW w:w="970" w:type="dxa"/>
            <w:tcBorders>
              <w:left w:val="single" w:color="auto" w:sz="4" w:space="0"/>
            </w:tcBorders>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w:t>
            </w:r>
          </w:p>
        </w:tc>
        <w:tc>
          <w:tcPr>
            <w:tcW w:w="1230" w:type="dxa"/>
            <w:vAlign w:val="center"/>
          </w:tcPr>
          <w:p>
            <w:pPr>
              <w:widowControl/>
              <w:spacing w:line="240" w:lineRule="exact"/>
              <w:jc w:val="center"/>
              <w:rPr>
                <w:rFonts w:hint="eastAsia" w:ascii="Times New Roman" w:hAnsi="Times New Roman" w:eastAsia="仿宋_GB2312" w:cs="Times New Roman"/>
                <w:bCs/>
                <w:kern w:val="0"/>
                <w:sz w:val="20"/>
                <w:szCs w:val="20"/>
              </w:rPr>
            </w:pPr>
            <w:r>
              <w:rPr>
                <w:rFonts w:hint="eastAsia" w:ascii="Times New Roman" w:hAnsi="Times New Roman" w:eastAsia="仿宋_GB2312" w:cs="Times New Roman"/>
                <w:bCs/>
                <w:kern w:val="0"/>
                <w:sz w:val="20"/>
                <w:szCs w:val="20"/>
              </w:rPr>
              <w:t>98</w:t>
            </w:r>
          </w:p>
        </w:tc>
        <w:tc>
          <w:tcPr>
            <w:tcW w:w="2115" w:type="dxa"/>
            <w:vAlign w:val="center"/>
          </w:tcPr>
          <w:p>
            <w:pPr>
              <w:widowControl/>
              <w:spacing w:line="240" w:lineRule="exact"/>
              <w:jc w:val="center"/>
              <w:rPr>
                <w:rFonts w:hint="eastAsia" w:ascii="Times New Roman" w:hAnsi="Times New Roman" w:eastAsia="仿宋_GB2312" w:cs="Times New Roman"/>
                <w:bCs/>
                <w:kern w:val="0"/>
                <w:sz w:val="20"/>
                <w:szCs w:val="20"/>
              </w:rPr>
            </w:pPr>
            <w:r>
              <w:rPr>
                <w:rFonts w:hint="eastAsia" w:ascii="Times New Roman" w:hAnsi="Times New Roman" w:eastAsia="仿宋_GB2312" w:cs="Times New Roman"/>
                <w:bCs/>
                <w:kern w:val="0"/>
                <w:sz w:val="20"/>
                <w:szCs w:val="20"/>
              </w:rPr>
              <w:t>&gt;98</w:t>
            </w:r>
          </w:p>
        </w:tc>
        <w:tc>
          <w:tcPr>
            <w:tcW w:w="1445" w:type="dxa"/>
            <w:vAlign w:val="center"/>
          </w:tcPr>
          <w:p>
            <w:pPr>
              <w:widowControl/>
              <w:spacing w:line="240" w:lineRule="exact"/>
              <w:jc w:val="center"/>
              <w:rPr>
                <w:rFonts w:hint="eastAsia" w:ascii="仿宋_GB2312" w:hAnsi="仿宋_GB2312" w:eastAsia="仿宋_GB2312" w:cs="仿宋_GB2312"/>
                <w:b/>
                <w:bCs/>
                <w:kern w:val="0"/>
                <w:sz w:val="20"/>
                <w:szCs w:val="20"/>
              </w:rPr>
            </w:pPr>
            <w:r>
              <w:rPr>
                <w:rFonts w:hint="eastAsia" w:ascii="仿宋_GB2312" w:hAnsi="仿宋_GB2312" w:eastAsia="仿宋_GB2312" w:cs="仿宋_GB2312"/>
                <w:bCs/>
                <w:kern w:val="0"/>
                <w:sz w:val="20"/>
                <w:szCs w:val="20"/>
              </w:rPr>
              <w:t>约束性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exact"/>
          <w:jc w:val="center"/>
        </w:trPr>
        <w:tc>
          <w:tcPr>
            <w:tcW w:w="340" w:type="dxa"/>
            <w:vMerge w:val="restart"/>
            <w:vAlign w:val="center"/>
          </w:tcPr>
          <w:p>
            <w:pPr>
              <w:spacing w:line="240" w:lineRule="exact"/>
              <w:jc w:val="center"/>
              <w:rPr>
                <w:rFonts w:hint="eastAsia" w:ascii="黑体" w:hAnsi="黑体" w:eastAsia="黑体" w:cs="黑体"/>
                <w:b w:val="0"/>
                <w:bCs w:val="0"/>
                <w:kern w:val="0"/>
                <w:sz w:val="20"/>
                <w:szCs w:val="20"/>
              </w:rPr>
            </w:pPr>
            <w:r>
              <w:rPr>
                <w:rFonts w:hint="eastAsia" w:ascii="黑体" w:hAnsi="黑体" w:eastAsia="黑体" w:cs="黑体"/>
                <w:b w:val="0"/>
                <w:bCs w:val="0"/>
                <w:kern w:val="0"/>
                <w:sz w:val="20"/>
                <w:szCs w:val="20"/>
              </w:rPr>
              <w:t>农村生活</w:t>
            </w:r>
          </w:p>
        </w:tc>
        <w:tc>
          <w:tcPr>
            <w:tcW w:w="2420" w:type="dxa"/>
            <w:tcBorders>
              <w:right w:val="single" w:color="auto" w:sz="4" w:space="0"/>
            </w:tcBorders>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农村居民人均可支配收入</w:t>
            </w:r>
          </w:p>
        </w:tc>
        <w:tc>
          <w:tcPr>
            <w:tcW w:w="970" w:type="dxa"/>
            <w:tcBorders>
              <w:left w:val="single" w:color="auto" w:sz="4" w:space="0"/>
            </w:tcBorders>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元</w:t>
            </w:r>
          </w:p>
        </w:tc>
        <w:tc>
          <w:tcPr>
            <w:tcW w:w="1230" w:type="dxa"/>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Times New Roman" w:hAnsi="Times New Roman" w:eastAsia="仿宋_GB2312" w:cs="Times New Roman"/>
                <w:bCs/>
                <w:kern w:val="0"/>
                <w:sz w:val="20"/>
                <w:szCs w:val="20"/>
              </w:rPr>
              <w:t>13889</w:t>
            </w:r>
          </w:p>
        </w:tc>
        <w:tc>
          <w:tcPr>
            <w:tcW w:w="2115" w:type="dxa"/>
            <w:vAlign w:val="center"/>
          </w:tcPr>
          <w:p>
            <w:pPr>
              <w:widowControl/>
              <w:spacing w:line="24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kern w:val="0"/>
                <w:sz w:val="20"/>
                <w:szCs w:val="20"/>
              </w:rPr>
              <w:t>年增长</w:t>
            </w:r>
            <w:r>
              <w:rPr>
                <w:rFonts w:hint="eastAsia" w:ascii="Times New Roman" w:hAnsi="Times New Roman" w:eastAsia="仿宋_GB2312" w:cs="Times New Roman"/>
                <w:bCs/>
                <w:kern w:val="0"/>
                <w:sz w:val="20"/>
                <w:szCs w:val="20"/>
              </w:rPr>
              <w:t>7</w:t>
            </w:r>
            <w:r>
              <w:rPr>
                <w:rFonts w:hint="eastAsia" w:ascii="仿宋_GB2312" w:hAnsi="仿宋_GB2312" w:eastAsia="仿宋_GB2312" w:cs="仿宋_GB2312"/>
                <w:kern w:val="0"/>
                <w:sz w:val="20"/>
                <w:szCs w:val="20"/>
              </w:rPr>
              <w:t>%</w:t>
            </w:r>
          </w:p>
        </w:tc>
        <w:tc>
          <w:tcPr>
            <w:tcW w:w="1445" w:type="dxa"/>
            <w:vAlign w:val="center"/>
          </w:tcPr>
          <w:p>
            <w:pPr>
              <w:widowControl/>
              <w:spacing w:line="24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bCs/>
                <w:kern w:val="0"/>
                <w:sz w:val="20"/>
                <w:szCs w:val="20"/>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394" w:hRule="exact"/>
          <w:jc w:val="center"/>
        </w:trPr>
        <w:tc>
          <w:tcPr>
            <w:tcW w:w="340" w:type="dxa"/>
            <w:vMerge w:val="continue"/>
            <w:vAlign w:val="center"/>
          </w:tcPr>
          <w:p>
            <w:pPr>
              <w:widowControl/>
              <w:spacing w:line="240" w:lineRule="exact"/>
              <w:jc w:val="center"/>
              <w:rPr>
                <w:rFonts w:cs="Times New Roman" w:asciiTheme="minorEastAsia" w:hAnsiTheme="minorEastAsia"/>
                <w:bCs/>
                <w:kern w:val="0"/>
                <w:sz w:val="20"/>
                <w:szCs w:val="20"/>
              </w:rPr>
            </w:pPr>
          </w:p>
        </w:tc>
        <w:tc>
          <w:tcPr>
            <w:tcW w:w="2420" w:type="dxa"/>
            <w:tcBorders>
              <w:right w:val="single" w:color="auto" w:sz="4" w:space="0"/>
            </w:tcBorders>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农村生活垃圾</w:t>
            </w:r>
            <w:r>
              <w:rPr>
                <w:rFonts w:hint="eastAsia" w:ascii="仿宋_GB2312" w:hAnsi="仿宋_GB2312" w:eastAsia="仿宋_GB2312" w:cs="仿宋_GB2312"/>
                <w:bCs/>
                <w:kern w:val="0"/>
                <w:sz w:val="20"/>
                <w:szCs w:val="20"/>
                <w:lang w:eastAsia="zh-CN"/>
              </w:rPr>
              <w:t>处</w:t>
            </w:r>
            <w:r>
              <w:rPr>
                <w:rFonts w:hint="eastAsia" w:ascii="仿宋_GB2312" w:hAnsi="仿宋_GB2312" w:eastAsia="仿宋_GB2312" w:cs="仿宋_GB2312"/>
                <w:bCs/>
                <w:kern w:val="0"/>
                <w:sz w:val="20"/>
                <w:szCs w:val="20"/>
              </w:rPr>
              <w:t>理率</w:t>
            </w:r>
          </w:p>
        </w:tc>
        <w:tc>
          <w:tcPr>
            <w:tcW w:w="970" w:type="dxa"/>
            <w:tcBorders>
              <w:left w:val="single" w:color="auto" w:sz="4" w:space="0"/>
            </w:tcBorders>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w:t>
            </w:r>
          </w:p>
        </w:tc>
        <w:tc>
          <w:tcPr>
            <w:tcW w:w="1230" w:type="dxa"/>
            <w:vAlign w:val="center"/>
          </w:tcPr>
          <w:p>
            <w:pPr>
              <w:widowControl/>
              <w:spacing w:line="240" w:lineRule="exact"/>
              <w:jc w:val="center"/>
              <w:rPr>
                <w:rFonts w:hint="eastAsia" w:ascii="Times New Roman" w:hAnsi="Times New Roman" w:eastAsia="仿宋_GB2312" w:cs="Times New Roman"/>
                <w:bCs/>
                <w:kern w:val="0"/>
                <w:sz w:val="20"/>
                <w:szCs w:val="20"/>
              </w:rPr>
            </w:pPr>
            <w:r>
              <w:rPr>
                <w:rFonts w:hint="eastAsia" w:ascii="Times New Roman" w:hAnsi="Times New Roman" w:eastAsia="仿宋_GB2312" w:cs="Times New Roman"/>
                <w:bCs/>
                <w:kern w:val="0"/>
                <w:sz w:val="20"/>
                <w:szCs w:val="20"/>
              </w:rPr>
              <w:t>90</w:t>
            </w:r>
          </w:p>
        </w:tc>
        <w:tc>
          <w:tcPr>
            <w:tcW w:w="2115" w:type="dxa"/>
            <w:vAlign w:val="center"/>
          </w:tcPr>
          <w:p>
            <w:pPr>
              <w:widowControl/>
              <w:spacing w:line="240" w:lineRule="exact"/>
              <w:jc w:val="center"/>
              <w:rPr>
                <w:rFonts w:hint="eastAsia" w:ascii="Times New Roman" w:hAnsi="Times New Roman" w:eastAsia="仿宋_GB2312" w:cs="Times New Roman"/>
                <w:bCs/>
                <w:kern w:val="0"/>
                <w:sz w:val="20"/>
                <w:szCs w:val="20"/>
              </w:rPr>
            </w:pPr>
            <w:r>
              <w:rPr>
                <w:rFonts w:hint="eastAsia" w:ascii="Times New Roman" w:hAnsi="Times New Roman" w:eastAsia="仿宋_GB2312" w:cs="Times New Roman"/>
                <w:bCs/>
                <w:kern w:val="0"/>
                <w:sz w:val="20"/>
                <w:szCs w:val="20"/>
              </w:rPr>
              <w:t>95</w:t>
            </w:r>
          </w:p>
        </w:tc>
        <w:tc>
          <w:tcPr>
            <w:tcW w:w="1445" w:type="dxa"/>
            <w:vAlign w:val="center"/>
          </w:tcPr>
          <w:p>
            <w:pPr>
              <w:widowControl/>
              <w:spacing w:line="240" w:lineRule="exact"/>
              <w:jc w:val="center"/>
              <w:rPr>
                <w:rFonts w:hint="eastAsia" w:ascii="仿宋_GB2312" w:hAnsi="仿宋_GB2312" w:eastAsia="仿宋_GB2312" w:cs="仿宋_GB2312"/>
                <w:kern w:val="0"/>
                <w:sz w:val="20"/>
                <w:szCs w:val="20"/>
              </w:rPr>
            </w:pPr>
            <w:r>
              <w:rPr>
                <w:rFonts w:hint="eastAsia" w:ascii="仿宋_GB2312" w:hAnsi="仿宋_GB2312" w:eastAsia="仿宋_GB2312" w:cs="仿宋_GB2312"/>
                <w:bCs/>
                <w:kern w:val="0"/>
                <w:sz w:val="20"/>
                <w:szCs w:val="20"/>
              </w:rPr>
              <w:t>预期性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3" w:hRule="exact"/>
          <w:jc w:val="center"/>
        </w:trPr>
        <w:tc>
          <w:tcPr>
            <w:tcW w:w="340" w:type="dxa"/>
            <w:vMerge w:val="continue"/>
            <w:vAlign w:val="center"/>
          </w:tcPr>
          <w:p>
            <w:pPr>
              <w:widowControl/>
              <w:spacing w:line="240" w:lineRule="exact"/>
              <w:jc w:val="center"/>
              <w:rPr>
                <w:rFonts w:cs="Times New Roman" w:asciiTheme="minorEastAsia" w:hAnsiTheme="minorEastAsia"/>
                <w:bCs/>
                <w:kern w:val="0"/>
                <w:sz w:val="20"/>
                <w:szCs w:val="20"/>
              </w:rPr>
            </w:pPr>
          </w:p>
        </w:tc>
        <w:tc>
          <w:tcPr>
            <w:tcW w:w="2420" w:type="dxa"/>
            <w:tcBorders>
              <w:right w:val="single" w:color="auto" w:sz="4" w:space="0"/>
            </w:tcBorders>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农村生活污水治理率</w:t>
            </w:r>
          </w:p>
        </w:tc>
        <w:tc>
          <w:tcPr>
            <w:tcW w:w="970" w:type="dxa"/>
            <w:tcBorders>
              <w:left w:val="single" w:color="auto" w:sz="4" w:space="0"/>
            </w:tcBorders>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w:t>
            </w:r>
          </w:p>
        </w:tc>
        <w:tc>
          <w:tcPr>
            <w:tcW w:w="1230" w:type="dxa"/>
            <w:vAlign w:val="center"/>
          </w:tcPr>
          <w:p>
            <w:pPr>
              <w:widowControl/>
              <w:spacing w:line="240" w:lineRule="exact"/>
              <w:jc w:val="center"/>
              <w:rPr>
                <w:rFonts w:hint="eastAsia" w:ascii="Times New Roman" w:hAnsi="Times New Roman" w:eastAsia="仿宋_GB2312" w:cs="Times New Roman"/>
                <w:bCs/>
                <w:kern w:val="0"/>
                <w:sz w:val="20"/>
                <w:szCs w:val="20"/>
              </w:rPr>
            </w:pPr>
            <w:r>
              <w:rPr>
                <w:rFonts w:hint="eastAsia" w:ascii="Times New Roman" w:hAnsi="Times New Roman" w:eastAsia="仿宋_GB2312" w:cs="Times New Roman"/>
                <w:bCs/>
                <w:kern w:val="0"/>
                <w:sz w:val="20"/>
                <w:szCs w:val="20"/>
              </w:rPr>
              <w:t>20.5</w:t>
            </w:r>
          </w:p>
        </w:tc>
        <w:tc>
          <w:tcPr>
            <w:tcW w:w="2115" w:type="dxa"/>
            <w:vAlign w:val="center"/>
          </w:tcPr>
          <w:p>
            <w:pPr>
              <w:widowControl/>
              <w:spacing w:line="240" w:lineRule="exact"/>
              <w:jc w:val="center"/>
              <w:rPr>
                <w:rFonts w:hint="eastAsia" w:ascii="Times New Roman" w:hAnsi="Times New Roman" w:eastAsia="仿宋_GB2312" w:cs="Times New Roman"/>
                <w:bCs/>
                <w:kern w:val="0"/>
                <w:sz w:val="20"/>
                <w:szCs w:val="20"/>
              </w:rPr>
            </w:pPr>
            <w:r>
              <w:rPr>
                <w:rFonts w:hint="eastAsia" w:ascii="Times New Roman" w:hAnsi="Times New Roman" w:eastAsia="仿宋_GB2312" w:cs="Times New Roman"/>
                <w:bCs/>
                <w:kern w:val="0"/>
                <w:sz w:val="20"/>
                <w:szCs w:val="20"/>
              </w:rPr>
              <w:t>40</w:t>
            </w:r>
          </w:p>
        </w:tc>
        <w:tc>
          <w:tcPr>
            <w:tcW w:w="1445" w:type="dxa"/>
            <w:vAlign w:val="center"/>
          </w:tcPr>
          <w:p>
            <w:pPr>
              <w:widowControl/>
              <w:spacing w:line="240" w:lineRule="exact"/>
              <w:jc w:val="center"/>
              <w:rPr>
                <w:rFonts w:hint="eastAsia" w:ascii="仿宋_GB2312" w:hAnsi="仿宋_GB2312" w:eastAsia="仿宋_GB2312" w:cs="仿宋_GB2312"/>
                <w:kern w:val="0"/>
                <w:sz w:val="20"/>
                <w:szCs w:val="20"/>
              </w:rPr>
            </w:pPr>
            <w:bookmarkStart w:id="90" w:name="OLE_LINK1"/>
            <w:r>
              <w:rPr>
                <w:rFonts w:hint="eastAsia" w:ascii="仿宋_GB2312" w:hAnsi="仿宋_GB2312" w:eastAsia="仿宋_GB2312" w:cs="仿宋_GB2312"/>
                <w:bCs/>
                <w:kern w:val="0"/>
                <w:sz w:val="20"/>
                <w:szCs w:val="20"/>
              </w:rPr>
              <w:t>预期性</w:t>
            </w:r>
            <w:bookmarkEnd w:id="90"/>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73" w:hRule="exact"/>
          <w:jc w:val="center"/>
        </w:trPr>
        <w:tc>
          <w:tcPr>
            <w:tcW w:w="340" w:type="dxa"/>
            <w:vMerge w:val="continue"/>
            <w:vAlign w:val="center"/>
          </w:tcPr>
          <w:p>
            <w:pPr>
              <w:widowControl/>
              <w:spacing w:line="240" w:lineRule="exact"/>
              <w:jc w:val="center"/>
              <w:rPr>
                <w:rFonts w:cs="Times New Roman" w:asciiTheme="minorEastAsia" w:hAnsiTheme="minorEastAsia"/>
                <w:bCs/>
                <w:kern w:val="0"/>
                <w:sz w:val="20"/>
                <w:szCs w:val="20"/>
              </w:rPr>
            </w:pPr>
          </w:p>
        </w:tc>
        <w:tc>
          <w:tcPr>
            <w:tcW w:w="2420" w:type="dxa"/>
            <w:tcBorders>
              <w:right w:val="single" w:color="auto" w:sz="4" w:space="0"/>
            </w:tcBorders>
            <w:vAlign w:val="center"/>
          </w:tcPr>
          <w:p>
            <w:pPr>
              <w:widowControl/>
              <w:spacing w:line="240" w:lineRule="exact"/>
              <w:jc w:val="center"/>
              <w:rPr>
                <w:rFonts w:hint="eastAsia" w:ascii="仿宋_GB2312" w:hAnsi="仿宋_GB2312" w:eastAsia="仿宋_GB2312" w:cs="仿宋_GB2312"/>
                <w:bCs/>
                <w:kern w:val="0"/>
                <w:sz w:val="20"/>
                <w:szCs w:val="20"/>
                <w:lang w:eastAsia="zh-CN"/>
              </w:rPr>
            </w:pPr>
            <w:r>
              <w:rPr>
                <w:rFonts w:hint="eastAsia" w:ascii="仿宋_GB2312" w:hAnsi="仿宋_GB2312" w:eastAsia="仿宋_GB2312" w:cs="仿宋_GB2312"/>
                <w:bCs/>
                <w:kern w:val="0"/>
                <w:sz w:val="20"/>
                <w:szCs w:val="20"/>
                <w:lang w:eastAsia="zh-CN"/>
              </w:rPr>
              <w:t>农村黑臭水体治理</w:t>
            </w:r>
          </w:p>
        </w:tc>
        <w:tc>
          <w:tcPr>
            <w:tcW w:w="970" w:type="dxa"/>
            <w:tcBorders>
              <w:left w:val="single" w:color="auto" w:sz="4" w:space="0"/>
            </w:tcBorders>
            <w:vAlign w:val="center"/>
          </w:tcPr>
          <w:p>
            <w:pPr>
              <w:widowControl/>
              <w:spacing w:line="240" w:lineRule="exact"/>
              <w:jc w:val="center"/>
              <w:rPr>
                <w:rFonts w:hint="eastAsia" w:ascii="仿宋_GB2312" w:hAnsi="仿宋_GB2312" w:eastAsia="仿宋_GB2312" w:cs="仿宋_GB2312"/>
                <w:bCs/>
                <w:kern w:val="0"/>
                <w:sz w:val="20"/>
                <w:szCs w:val="20"/>
                <w:lang w:eastAsia="zh-CN"/>
              </w:rPr>
            </w:pPr>
            <w:r>
              <w:rPr>
                <w:rFonts w:hint="eastAsia" w:ascii="仿宋_GB2312" w:hAnsi="仿宋_GB2312" w:eastAsia="仿宋_GB2312" w:cs="仿宋_GB2312"/>
                <w:bCs/>
                <w:kern w:val="0"/>
                <w:sz w:val="20"/>
                <w:szCs w:val="20"/>
                <w:lang w:eastAsia="zh-CN"/>
              </w:rPr>
              <w:t>条</w:t>
            </w:r>
          </w:p>
        </w:tc>
        <w:tc>
          <w:tcPr>
            <w:tcW w:w="1230" w:type="dxa"/>
            <w:vAlign w:val="center"/>
          </w:tcPr>
          <w:p>
            <w:pPr>
              <w:widowControl/>
              <w:spacing w:line="240" w:lineRule="exact"/>
              <w:jc w:val="center"/>
              <w:rPr>
                <w:rFonts w:hint="eastAsia" w:ascii="Times New Roman" w:hAnsi="Times New Roman" w:eastAsia="仿宋_GB2312" w:cs="Times New Roman"/>
                <w:bCs/>
                <w:kern w:val="0"/>
                <w:sz w:val="20"/>
                <w:szCs w:val="20"/>
                <w:lang w:val="en-US" w:eastAsia="zh-CN"/>
              </w:rPr>
            </w:pPr>
            <w:r>
              <w:rPr>
                <w:rFonts w:hint="eastAsia" w:ascii="Times New Roman" w:hAnsi="Times New Roman" w:eastAsia="仿宋_GB2312" w:cs="Times New Roman"/>
                <w:bCs/>
                <w:kern w:val="0"/>
                <w:sz w:val="20"/>
                <w:szCs w:val="20"/>
                <w:lang w:val="en-US" w:eastAsia="zh-CN"/>
              </w:rPr>
              <w:t>0</w:t>
            </w:r>
          </w:p>
        </w:tc>
        <w:tc>
          <w:tcPr>
            <w:tcW w:w="2115" w:type="dxa"/>
            <w:vAlign w:val="center"/>
          </w:tcPr>
          <w:p>
            <w:pPr>
              <w:widowControl/>
              <w:spacing w:line="240" w:lineRule="exact"/>
              <w:jc w:val="center"/>
              <w:rPr>
                <w:rFonts w:hint="eastAsia" w:ascii="Times New Roman" w:hAnsi="Times New Roman" w:eastAsia="仿宋_GB2312" w:cs="Times New Roman"/>
                <w:bCs/>
                <w:kern w:val="0"/>
                <w:sz w:val="20"/>
                <w:szCs w:val="20"/>
                <w:lang w:val="en-US" w:eastAsia="zh-CN"/>
              </w:rPr>
            </w:pPr>
            <w:r>
              <w:rPr>
                <w:rFonts w:hint="eastAsia" w:ascii="Times New Roman" w:hAnsi="Times New Roman" w:eastAsia="仿宋_GB2312" w:cs="Times New Roman"/>
                <w:bCs/>
                <w:kern w:val="0"/>
                <w:sz w:val="20"/>
                <w:szCs w:val="20"/>
                <w:lang w:val="en-US" w:eastAsia="zh-CN"/>
              </w:rPr>
              <w:t>27</w:t>
            </w:r>
          </w:p>
        </w:tc>
        <w:tc>
          <w:tcPr>
            <w:tcW w:w="1445" w:type="dxa"/>
            <w:vAlign w:val="center"/>
          </w:tcPr>
          <w:p>
            <w:pPr>
              <w:widowControl/>
              <w:spacing w:line="240" w:lineRule="exact"/>
              <w:jc w:val="center"/>
              <w:rPr>
                <w:rFonts w:hint="eastAsia" w:ascii="仿宋_GB2312" w:hAnsi="仿宋_GB2312" w:eastAsia="仿宋_GB2312" w:cs="仿宋_GB2312"/>
                <w:bCs/>
                <w:kern w:val="0"/>
                <w:sz w:val="20"/>
                <w:szCs w:val="20"/>
              </w:rPr>
            </w:pPr>
            <w:r>
              <w:rPr>
                <w:rFonts w:hint="eastAsia" w:ascii="仿宋_GB2312" w:hAnsi="仿宋_GB2312" w:eastAsia="仿宋_GB2312" w:cs="仿宋_GB2312"/>
                <w:bCs/>
                <w:kern w:val="0"/>
                <w:sz w:val="20"/>
                <w:szCs w:val="20"/>
              </w:rPr>
              <w:t>预期性</w:t>
            </w:r>
          </w:p>
        </w:tc>
      </w:tr>
    </w:tbl>
    <w:p>
      <w:pPr>
        <w:pStyle w:val="3"/>
        <w:keepNext/>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0"/>
        <w:rPr>
          <w:rFonts w:hint="eastAsia" w:ascii="黑体" w:hAnsi="黑体" w:eastAsia="黑体" w:cs="黑体"/>
          <w:sz w:val="32"/>
          <w:szCs w:val="32"/>
        </w:rPr>
      </w:pPr>
      <w:bookmarkStart w:id="91" w:name="_Toc10203433"/>
      <w:bookmarkStart w:id="92" w:name="_Toc47634567"/>
      <w:bookmarkStart w:id="93" w:name="_Toc28174"/>
      <w:bookmarkStart w:id="94" w:name="_Toc17234"/>
      <w:bookmarkStart w:id="95" w:name="_Toc30158"/>
      <w:bookmarkStart w:id="96" w:name="_Toc64884472"/>
      <w:bookmarkStart w:id="97" w:name="_Toc6997"/>
      <w:bookmarkStart w:id="98" w:name="_Toc32138"/>
      <w:bookmarkStart w:id="99" w:name="_Toc3180"/>
      <w:bookmarkStart w:id="100" w:name="_Toc10203458"/>
    </w:p>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 xml:space="preserve">第三章 </w:t>
      </w:r>
      <w:bookmarkEnd w:id="91"/>
      <w:bookmarkEnd w:id="92"/>
      <w:r>
        <w:rPr>
          <w:rFonts w:hint="eastAsia" w:ascii="黑体" w:hAnsi="黑体" w:eastAsia="黑体" w:cs="黑体"/>
          <w:b w:val="0"/>
          <w:bCs w:val="0"/>
          <w:sz w:val="32"/>
          <w:szCs w:val="32"/>
        </w:rPr>
        <w:t>推进农业资源保护利用</w:t>
      </w:r>
      <w:bookmarkEnd w:id="93"/>
      <w:bookmarkEnd w:id="94"/>
      <w:bookmarkEnd w:id="95"/>
      <w:bookmarkEnd w:id="96"/>
      <w:bookmarkEnd w:id="97"/>
      <w:bookmarkEnd w:id="98"/>
      <w:bookmarkEnd w:id="99"/>
    </w:p>
    <w:p>
      <w:pPr>
        <w:pStyle w:val="4"/>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楷体_GB2312" w:hAnsi="楷体_GB2312" w:eastAsia="楷体_GB2312" w:cs="楷体_GB2312"/>
          <w:sz w:val="32"/>
          <w:szCs w:val="32"/>
        </w:rPr>
      </w:pPr>
      <w:bookmarkStart w:id="101" w:name="_Toc21077"/>
      <w:bookmarkStart w:id="102" w:name="_Toc19369"/>
      <w:bookmarkStart w:id="103" w:name="_Toc4053"/>
      <w:bookmarkStart w:id="104" w:name="_Toc47634568"/>
      <w:bookmarkStart w:id="105" w:name="_Toc24769"/>
      <w:bookmarkStart w:id="106" w:name="_Toc10203434"/>
      <w:bookmarkStart w:id="107" w:name="_Toc28315"/>
      <w:bookmarkStart w:id="108" w:name="_Toc19080"/>
      <w:r>
        <w:rPr>
          <w:rFonts w:hint="eastAsia" w:ascii="楷体_GB2312" w:hAnsi="楷体_GB2312" w:eastAsia="楷体_GB2312" w:cs="楷体_GB2312"/>
          <w:sz w:val="32"/>
          <w:szCs w:val="32"/>
          <w:lang w:eastAsia="zh-CN"/>
        </w:rPr>
        <w:t>第一节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加强耕地</w:t>
      </w:r>
      <w:bookmarkEnd w:id="101"/>
      <w:bookmarkEnd w:id="102"/>
      <w:bookmarkEnd w:id="103"/>
      <w:bookmarkEnd w:id="104"/>
      <w:bookmarkEnd w:id="105"/>
      <w:bookmarkEnd w:id="106"/>
      <w:bookmarkEnd w:id="107"/>
      <w:r>
        <w:rPr>
          <w:rFonts w:hint="eastAsia" w:ascii="楷体_GB2312" w:hAnsi="楷体_GB2312" w:eastAsia="楷体_GB2312" w:cs="楷体_GB2312"/>
          <w:sz w:val="32"/>
          <w:szCs w:val="32"/>
        </w:rPr>
        <w:t>保护与质量建设</w:t>
      </w:r>
      <w:bookmarkEnd w:id="108"/>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sz w:val="32"/>
          <w:szCs w:val="32"/>
        </w:rPr>
      </w:pPr>
      <w:r>
        <w:rPr>
          <w:rFonts w:hint="eastAsia" w:ascii="仿宋_GB2312" w:hAnsi="仿宋_GB2312" w:eastAsia="仿宋_GB2312" w:cs="仿宋_GB2312"/>
          <w:b w:val="0"/>
          <w:bCs/>
          <w:sz w:val="32"/>
          <w:szCs w:val="32"/>
        </w:rPr>
        <w:t>加强耕地保护。</w:t>
      </w:r>
      <w:r>
        <w:rPr>
          <w:rFonts w:hint="eastAsia" w:ascii="仿宋_GB2312" w:hAnsi="仿宋_GB2312" w:eastAsia="仿宋_GB2312" w:cs="仿宋_GB2312"/>
          <w:b w:val="0"/>
          <w:bCs w:val="0"/>
          <w:spacing w:val="-6"/>
          <w:sz w:val="32"/>
          <w:szCs w:val="32"/>
          <w:lang w:eastAsia="zh-CN"/>
        </w:rPr>
        <w:t>严格耕地用途管制，</w:t>
      </w:r>
      <w:r>
        <w:rPr>
          <w:rFonts w:hint="eastAsia" w:ascii="仿宋_GB2312" w:hAnsi="仿宋_GB2312" w:eastAsia="仿宋_GB2312" w:cs="仿宋_GB2312"/>
          <w:spacing w:val="-6"/>
          <w:sz w:val="32"/>
          <w:szCs w:val="32"/>
          <w:lang w:eastAsia="zh-CN"/>
        </w:rPr>
        <w:t>落实最严格耕地保护制度，牢牢守住耕地保护红线，严控耕地转为林地、草地、园地等其他农用地及农业设施建设用地，统筹利用撂荒地，坚决遏制耕地</w:t>
      </w:r>
      <w:r>
        <w:rPr>
          <w:rFonts w:hint="eastAsia" w:ascii="仿宋_GB2312" w:hAnsi="仿宋_GB2312" w:cs="仿宋_GB2312"/>
          <w:spacing w:val="-6"/>
          <w:sz w:val="32"/>
          <w:szCs w:val="32"/>
          <w:lang w:eastAsia="zh-CN"/>
        </w:rPr>
        <w:t>“</w:t>
      </w:r>
      <w:r>
        <w:rPr>
          <w:rFonts w:hint="eastAsia" w:ascii="仿宋_GB2312" w:hAnsi="仿宋_GB2312" w:eastAsia="仿宋_GB2312" w:cs="仿宋_GB2312"/>
          <w:spacing w:val="-6"/>
          <w:sz w:val="32"/>
          <w:szCs w:val="32"/>
          <w:lang w:eastAsia="zh-CN"/>
        </w:rPr>
        <w:t>非农化</w:t>
      </w:r>
      <w:r>
        <w:rPr>
          <w:rFonts w:hint="eastAsia" w:ascii="仿宋_GB2312" w:hAnsi="仿宋_GB2312" w:cs="仿宋_GB2312"/>
          <w:spacing w:val="-6"/>
          <w:sz w:val="32"/>
          <w:szCs w:val="32"/>
          <w:lang w:eastAsia="zh-CN"/>
        </w:rPr>
        <w:t>”</w:t>
      </w:r>
      <w:r>
        <w:rPr>
          <w:rFonts w:hint="eastAsia" w:ascii="仿宋_GB2312" w:hAnsi="仿宋_GB2312" w:eastAsia="仿宋_GB2312" w:cs="仿宋_GB2312"/>
          <w:spacing w:val="-6"/>
          <w:sz w:val="32"/>
          <w:szCs w:val="32"/>
          <w:lang w:eastAsia="zh-CN"/>
        </w:rPr>
        <w:t>、</w:t>
      </w:r>
      <w:r>
        <w:rPr>
          <w:rFonts w:hint="eastAsia" w:ascii="仿宋_GB2312" w:hAnsi="仿宋_GB2312" w:cs="仿宋_GB2312"/>
          <w:spacing w:val="-6"/>
          <w:sz w:val="32"/>
          <w:szCs w:val="32"/>
          <w:lang w:eastAsia="zh-CN"/>
        </w:rPr>
        <w:t>严格管控“</w:t>
      </w:r>
      <w:r>
        <w:rPr>
          <w:rFonts w:hint="eastAsia" w:ascii="仿宋_GB2312" w:hAnsi="仿宋_GB2312" w:eastAsia="仿宋_GB2312" w:cs="仿宋_GB2312"/>
          <w:spacing w:val="-6"/>
          <w:sz w:val="32"/>
          <w:szCs w:val="32"/>
          <w:lang w:eastAsia="zh-CN"/>
        </w:rPr>
        <w:t>非粮化</w:t>
      </w:r>
      <w:r>
        <w:rPr>
          <w:rFonts w:hint="eastAsia" w:ascii="仿宋_GB2312" w:hAnsi="仿宋_GB2312" w:cs="仿宋_GB2312"/>
          <w:spacing w:val="-6"/>
          <w:sz w:val="32"/>
          <w:szCs w:val="32"/>
          <w:lang w:eastAsia="zh-CN"/>
        </w:rPr>
        <w:t>”</w:t>
      </w:r>
      <w:r>
        <w:rPr>
          <w:rFonts w:hint="eastAsia" w:ascii="仿宋_GB2312" w:hAnsi="仿宋_GB2312" w:eastAsia="仿宋_GB2312" w:cs="仿宋_GB2312"/>
          <w:spacing w:val="-6"/>
          <w:sz w:val="32"/>
          <w:szCs w:val="32"/>
          <w:lang w:eastAsia="zh-CN"/>
        </w:rPr>
        <w:t>。</w:t>
      </w:r>
      <w:r>
        <w:rPr>
          <w:rFonts w:hint="eastAsia" w:ascii="仿宋_GB2312" w:hAnsi="仿宋_GB2312" w:eastAsia="仿宋_GB2312" w:cs="仿宋_GB2312"/>
          <w:b w:val="0"/>
          <w:bCs w:val="0"/>
          <w:spacing w:val="-6"/>
          <w:sz w:val="32"/>
          <w:szCs w:val="32"/>
          <w:lang w:eastAsia="zh-CN"/>
        </w:rPr>
        <w:t>严格耕地监测管护，</w:t>
      </w:r>
      <w:r>
        <w:rPr>
          <w:rFonts w:hint="eastAsia" w:ascii="仿宋_GB2312" w:hAnsi="仿宋_GB2312" w:eastAsia="仿宋_GB2312" w:cs="仿宋_GB2312"/>
          <w:spacing w:val="-6"/>
          <w:sz w:val="32"/>
          <w:szCs w:val="32"/>
          <w:lang w:eastAsia="zh-CN"/>
        </w:rPr>
        <w:t>落实永久基本农田特殊保护制度，划优划实永久基本农田，将划定成果纳入国土空间规划</w:t>
      </w:r>
      <w:r>
        <w:rPr>
          <w:rFonts w:hint="eastAsia" w:ascii="仿宋_GB2312" w:hAnsi="仿宋_GB2312" w:cs="仿宋_GB2312"/>
          <w:spacing w:val="-6"/>
          <w:sz w:val="32"/>
          <w:szCs w:val="32"/>
          <w:lang w:eastAsia="zh-CN"/>
        </w:rPr>
        <w:t>“</w:t>
      </w:r>
      <w:r>
        <w:rPr>
          <w:rFonts w:hint="eastAsia" w:ascii="仿宋_GB2312" w:hAnsi="仿宋_GB2312" w:eastAsia="仿宋_GB2312" w:cs="仿宋_GB2312"/>
          <w:spacing w:val="-6"/>
          <w:sz w:val="32"/>
          <w:szCs w:val="32"/>
          <w:lang w:eastAsia="zh-CN"/>
        </w:rPr>
        <w:t>一张图</w:t>
      </w:r>
      <w:r>
        <w:rPr>
          <w:rFonts w:hint="eastAsia" w:ascii="仿宋_GB2312" w:hAnsi="仿宋_GB2312" w:cs="仿宋_GB2312"/>
          <w:spacing w:val="-6"/>
          <w:sz w:val="32"/>
          <w:szCs w:val="32"/>
          <w:lang w:eastAsia="zh-CN"/>
        </w:rPr>
        <w:t>”</w:t>
      </w:r>
      <w:r>
        <w:rPr>
          <w:rFonts w:hint="eastAsia" w:ascii="仿宋_GB2312" w:hAnsi="仿宋_GB2312" w:eastAsia="仿宋_GB2312" w:cs="仿宋_GB2312"/>
          <w:spacing w:val="-6"/>
          <w:sz w:val="32"/>
          <w:szCs w:val="32"/>
          <w:lang w:eastAsia="zh-CN"/>
        </w:rPr>
        <w:t>管理。健全完善耕地动态监测监管机制，建立</w:t>
      </w:r>
      <w:r>
        <w:rPr>
          <w:rFonts w:hint="eastAsia" w:ascii="仿宋_GB2312" w:hAnsi="仿宋_GB2312" w:cs="仿宋_GB2312"/>
          <w:spacing w:val="-6"/>
          <w:sz w:val="32"/>
          <w:szCs w:val="32"/>
          <w:lang w:eastAsia="zh-CN"/>
        </w:rPr>
        <w:t>“</w:t>
      </w:r>
      <w:r>
        <w:rPr>
          <w:rFonts w:hint="eastAsia" w:ascii="仿宋_GB2312" w:hAnsi="仿宋_GB2312" w:eastAsia="仿宋_GB2312" w:cs="仿宋_GB2312"/>
          <w:spacing w:val="-6"/>
          <w:sz w:val="32"/>
          <w:szCs w:val="32"/>
          <w:lang w:eastAsia="zh-CN"/>
        </w:rPr>
        <w:t>六级</w:t>
      </w:r>
      <w:r>
        <w:rPr>
          <w:rFonts w:hint="eastAsia" w:ascii="仿宋_GB2312" w:hAnsi="仿宋_GB2312" w:cs="仿宋_GB2312"/>
          <w:spacing w:val="-6"/>
          <w:sz w:val="32"/>
          <w:szCs w:val="32"/>
          <w:lang w:eastAsia="zh-CN"/>
        </w:rPr>
        <w:t>”</w:t>
      </w:r>
      <w:r>
        <w:rPr>
          <w:rFonts w:hint="eastAsia" w:ascii="仿宋_GB2312" w:hAnsi="仿宋_GB2312" w:eastAsia="仿宋_GB2312" w:cs="仿宋_GB2312"/>
          <w:spacing w:val="-6"/>
          <w:sz w:val="32"/>
          <w:szCs w:val="32"/>
          <w:lang w:eastAsia="zh-CN"/>
        </w:rPr>
        <w:t>耕地保护责任体系，推行</w:t>
      </w:r>
      <w:r>
        <w:rPr>
          <w:rFonts w:hint="eastAsia" w:ascii="仿宋_GB2312" w:hAnsi="仿宋_GB2312" w:cs="仿宋_GB2312"/>
          <w:spacing w:val="-6"/>
          <w:sz w:val="32"/>
          <w:szCs w:val="32"/>
          <w:lang w:eastAsia="zh-CN"/>
        </w:rPr>
        <w:t>“</w:t>
      </w:r>
      <w:r>
        <w:rPr>
          <w:rFonts w:hint="eastAsia" w:ascii="仿宋_GB2312" w:hAnsi="仿宋_GB2312" w:eastAsia="仿宋_GB2312" w:cs="仿宋_GB2312"/>
          <w:spacing w:val="-6"/>
          <w:sz w:val="32"/>
          <w:szCs w:val="32"/>
          <w:lang w:eastAsia="zh-CN"/>
        </w:rPr>
        <w:t>以码管地</w:t>
      </w:r>
      <w:r>
        <w:rPr>
          <w:rFonts w:hint="eastAsia" w:ascii="仿宋_GB2312" w:hAnsi="仿宋_GB2312" w:cs="仿宋_GB2312"/>
          <w:spacing w:val="-6"/>
          <w:sz w:val="32"/>
          <w:szCs w:val="32"/>
          <w:lang w:eastAsia="zh-CN"/>
        </w:rPr>
        <w:t>”</w:t>
      </w:r>
      <w:r>
        <w:rPr>
          <w:rFonts w:hint="eastAsia" w:ascii="仿宋_GB2312" w:hAnsi="仿宋_GB2312" w:eastAsia="仿宋_GB2312" w:cs="仿宋_GB2312"/>
          <w:spacing w:val="-6"/>
          <w:sz w:val="32"/>
          <w:szCs w:val="32"/>
          <w:lang w:eastAsia="zh-CN"/>
        </w:rPr>
        <w:t>，加强耕地动态监管。</w:t>
      </w:r>
      <w:r>
        <w:rPr>
          <w:rFonts w:hint="eastAsia" w:ascii="仿宋_GB2312" w:hAnsi="仿宋_GB2312" w:eastAsia="仿宋_GB2312" w:cs="仿宋_GB2312"/>
          <w:b w:val="0"/>
          <w:bCs w:val="0"/>
          <w:spacing w:val="-6"/>
          <w:sz w:val="32"/>
          <w:szCs w:val="32"/>
          <w:lang w:eastAsia="zh-CN"/>
        </w:rPr>
        <w:t>严格耕地占补平衡和进出平衡，</w:t>
      </w:r>
      <w:r>
        <w:rPr>
          <w:rFonts w:hint="eastAsia" w:ascii="仿宋_GB2312" w:hAnsi="仿宋_GB2312" w:eastAsia="仿宋_GB2312" w:cs="仿宋_GB2312"/>
          <w:spacing w:val="-6"/>
          <w:sz w:val="32"/>
          <w:szCs w:val="32"/>
          <w:lang w:eastAsia="zh-CN"/>
        </w:rPr>
        <w:t>加强和改进耕地占补平衡管理，落实</w:t>
      </w:r>
      <w:r>
        <w:rPr>
          <w:rFonts w:hint="eastAsia" w:ascii="仿宋_GB2312" w:hAnsi="仿宋_GB2312" w:cs="仿宋_GB2312"/>
          <w:spacing w:val="-6"/>
          <w:sz w:val="32"/>
          <w:szCs w:val="32"/>
          <w:lang w:eastAsia="zh-CN"/>
        </w:rPr>
        <w:t>“</w:t>
      </w:r>
      <w:r>
        <w:rPr>
          <w:rFonts w:hint="eastAsia" w:ascii="仿宋_GB2312" w:hAnsi="仿宋_GB2312" w:eastAsia="仿宋_GB2312" w:cs="仿宋_GB2312"/>
          <w:spacing w:val="-6"/>
          <w:sz w:val="32"/>
          <w:szCs w:val="32"/>
          <w:lang w:eastAsia="zh-CN"/>
        </w:rPr>
        <w:t>占优补优、占一补一</w:t>
      </w:r>
      <w:r>
        <w:rPr>
          <w:rFonts w:hint="eastAsia" w:ascii="仿宋_GB2312" w:hAnsi="仿宋_GB2312" w:cs="仿宋_GB2312"/>
          <w:spacing w:val="-6"/>
          <w:sz w:val="32"/>
          <w:szCs w:val="32"/>
          <w:lang w:eastAsia="zh-CN"/>
        </w:rPr>
        <w:t>”</w:t>
      </w:r>
      <w:r>
        <w:rPr>
          <w:rFonts w:hint="eastAsia" w:ascii="仿宋_GB2312" w:hAnsi="仿宋_GB2312" w:eastAsia="仿宋_GB2312" w:cs="仿宋_GB2312"/>
          <w:spacing w:val="-6"/>
          <w:sz w:val="32"/>
          <w:szCs w:val="32"/>
          <w:lang w:eastAsia="zh-CN"/>
        </w:rPr>
        <w:t>要求，建立耕地</w:t>
      </w:r>
      <w:r>
        <w:rPr>
          <w:rFonts w:hint="eastAsia" w:ascii="仿宋_GB2312" w:hAnsi="仿宋_GB2312" w:cs="仿宋_GB2312"/>
          <w:spacing w:val="-6"/>
          <w:sz w:val="32"/>
          <w:szCs w:val="32"/>
          <w:lang w:eastAsia="zh-CN"/>
        </w:rPr>
        <w:t>“</w:t>
      </w:r>
      <w:r>
        <w:rPr>
          <w:rFonts w:hint="eastAsia" w:ascii="仿宋_GB2312" w:hAnsi="仿宋_GB2312" w:eastAsia="仿宋_GB2312" w:cs="仿宋_GB2312"/>
          <w:spacing w:val="-6"/>
          <w:sz w:val="32"/>
          <w:szCs w:val="32"/>
          <w:lang w:eastAsia="zh-CN"/>
        </w:rPr>
        <w:t>进出平衡</w:t>
      </w:r>
      <w:r>
        <w:rPr>
          <w:rFonts w:hint="eastAsia" w:ascii="仿宋_GB2312" w:hAnsi="仿宋_GB2312" w:cs="仿宋_GB2312"/>
          <w:spacing w:val="-6"/>
          <w:sz w:val="32"/>
          <w:szCs w:val="32"/>
          <w:lang w:eastAsia="zh-CN"/>
        </w:rPr>
        <w:t>”</w:t>
      </w:r>
      <w:r>
        <w:rPr>
          <w:rFonts w:hint="eastAsia" w:ascii="仿宋_GB2312" w:hAnsi="仿宋_GB2312" w:eastAsia="仿宋_GB2312" w:cs="仿宋_GB2312"/>
          <w:spacing w:val="-6"/>
          <w:sz w:val="32"/>
          <w:szCs w:val="32"/>
          <w:lang w:eastAsia="zh-CN"/>
        </w:rPr>
        <w:t>机制，确保耕地不减少，质量不降低，发展可持续。严格管控私开</w:t>
      </w:r>
      <w:r>
        <w:rPr>
          <w:rFonts w:hint="eastAsia" w:ascii="仿宋_GB2312" w:hAnsi="仿宋_GB2312" w:cs="仿宋_GB2312"/>
          <w:spacing w:val="-6"/>
          <w:sz w:val="32"/>
          <w:szCs w:val="32"/>
          <w:lang w:eastAsia="zh-CN"/>
        </w:rPr>
        <w:t>滥</w:t>
      </w:r>
      <w:r>
        <w:rPr>
          <w:rFonts w:hint="eastAsia" w:ascii="仿宋_GB2312" w:hAnsi="仿宋_GB2312" w:eastAsia="仿宋_GB2312" w:cs="仿宋_GB2312"/>
          <w:spacing w:val="-6"/>
          <w:sz w:val="32"/>
          <w:szCs w:val="32"/>
          <w:lang w:eastAsia="zh-CN"/>
        </w:rPr>
        <w:t>垦行为，严禁开山造地、黄河滩涂围垦耕地及毁林毁草开垦耕地。</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sz w:val="32"/>
          <w:szCs w:val="32"/>
        </w:rPr>
      </w:pPr>
      <w:r>
        <w:rPr>
          <w:rFonts w:hint="eastAsia" w:ascii="仿宋_GB2312" w:hAnsi="仿宋_GB2312" w:eastAsia="仿宋_GB2312" w:cs="仿宋_GB2312"/>
          <w:b w:val="0"/>
          <w:bCs/>
          <w:sz w:val="32"/>
          <w:szCs w:val="32"/>
        </w:rPr>
        <w:t>加强耕地质量建设。</w:t>
      </w:r>
      <w:r>
        <w:rPr>
          <w:rFonts w:hint="eastAsia"/>
          <w:sz w:val="32"/>
          <w:szCs w:val="32"/>
        </w:rPr>
        <w:t>深入实施“藏粮于地、藏粮于技”战略，加快推进高标准农田建设、持续培肥耕地地力，切实提高耕地质量。</w:t>
      </w:r>
      <w:r>
        <w:rPr>
          <w:rFonts w:hint="eastAsia"/>
          <w:b w:val="0"/>
          <w:bCs/>
          <w:sz w:val="32"/>
          <w:szCs w:val="32"/>
        </w:rPr>
        <w:t>扎实开展高标准农田建设</w:t>
      </w:r>
      <w:r>
        <w:rPr>
          <w:rFonts w:hint="eastAsia"/>
          <w:bCs/>
          <w:sz w:val="32"/>
          <w:szCs w:val="32"/>
        </w:rPr>
        <w:t>，</w:t>
      </w:r>
      <w:r>
        <w:rPr>
          <w:rFonts w:hint="eastAsia"/>
          <w:sz w:val="32"/>
          <w:szCs w:val="32"/>
        </w:rPr>
        <w:t>坚持新建与改造并重、数量与质量并重、整体推进与典型示范并重、工程建设与建后管护并重，中南部山区重点实施中低产田改造、坡改梯、低标准梯田改造等项目，引黄扬黄灌区重点实施完善农田灌排体系，加强田块整治，建设田间道路。</w:t>
      </w:r>
      <w:bookmarkStart w:id="109" w:name="_Toc449259956"/>
      <w:r>
        <w:rPr>
          <w:rFonts w:hint="eastAsia"/>
          <w:b w:val="0"/>
          <w:bCs/>
          <w:sz w:val="32"/>
          <w:szCs w:val="32"/>
        </w:rPr>
        <w:t>持续培肥耕地地力</w:t>
      </w:r>
      <w:bookmarkEnd w:id="109"/>
      <w:r>
        <w:rPr>
          <w:rFonts w:hint="eastAsia"/>
          <w:bCs/>
          <w:sz w:val="32"/>
          <w:szCs w:val="32"/>
        </w:rPr>
        <w:t>，</w:t>
      </w:r>
      <w:r>
        <w:rPr>
          <w:rFonts w:hint="eastAsia"/>
          <w:sz w:val="32"/>
          <w:szCs w:val="32"/>
        </w:rPr>
        <w:t>继续实施耕地保护与质量提升行动计划，扎实推动秸秆还田、实施绿肥还田、有机肥替代化肥、测土配方施肥等措施，强化技术集成，提高土壤有机质含量和保水保肥能力。</w:t>
      </w:r>
      <w:r>
        <w:rPr>
          <w:rFonts w:hint="eastAsia"/>
          <w:b w:val="0"/>
          <w:bCs/>
          <w:sz w:val="32"/>
          <w:szCs w:val="32"/>
        </w:rPr>
        <w:t>持续开展耕地质量监测评价</w:t>
      </w:r>
      <w:r>
        <w:rPr>
          <w:rFonts w:hint="eastAsia"/>
          <w:bCs/>
          <w:sz w:val="32"/>
          <w:szCs w:val="32"/>
        </w:rPr>
        <w:t>，</w:t>
      </w:r>
      <w:r>
        <w:rPr>
          <w:rFonts w:hint="eastAsia"/>
          <w:sz w:val="32"/>
          <w:szCs w:val="32"/>
        </w:rPr>
        <w:t>进一步完善耕地质量监测网络，科学布局耕地质量监测站点，全面开展耕地质量监测调查工作，定期发布耕地质量监测报告，为耕地质量提升提供依据。</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sz w:val="32"/>
          <w:szCs w:val="32"/>
        </w:rPr>
      </w:pPr>
      <w:r>
        <w:rPr>
          <w:rFonts w:hint="eastAsia" w:ascii="仿宋_GB2312" w:hAnsi="仿宋_GB2312" w:eastAsia="仿宋_GB2312" w:cs="仿宋_GB2312"/>
          <w:b w:val="0"/>
          <w:bCs/>
          <w:sz w:val="32"/>
          <w:szCs w:val="32"/>
        </w:rPr>
        <w:t>加强盐碱耕地治理。</w:t>
      </w:r>
      <w:r>
        <w:rPr>
          <w:rFonts w:hint="eastAsia"/>
          <w:b w:val="0"/>
          <w:bCs/>
          <w:sz w:val="32"/>
          <w:szCs w:val="32"/>
        </w:rPr>
        <w:t>引黄灌区</w:t>
      </w:r>
      <w:r>
        <w:rPr>
          <w:rFonts w:hint="eastAsia"/>
          <w:sz w:val="32"/>
          <w:szCs w:val="32"/>
        </w:rPr>
        <w:t>坚持工程</w:t>
      </w:r>
      <w:r>
        <w:rPr>
          <w:rFonts w:hint="eastAsia"/>
          <w:sz w:val="32"/>
          <w:szCs w:val="32"/>
          <w:lang w:eastAsia="zh-CN"/>
        </w:rPr>
        <w:t>、</w:t>
      </w:r>
      <w:r>
        <w:rPr>
          <w:rFonts w:hint="eastAsia"/>
          <w:sz w:val="32"/>
          <w:szCs w:val="32"/>
        </w:rPr>
        <w:t>农艺措施相结合，</w:t>
      </w:r>
      <w:r>
        <w:rPr>
          <w:rFonts w:hint="eastAsia"/>
          <w:sz w:val="32"/>
          <w:szCs w:val="32"/>
          <w:lang w:eastAsia="zh-CN"/>
        </w:rPr>
        <w:t>以盐碱地改良和中低产田治理为重点，</w:t>
      </w:r>
      <w:r>
        <w:rPr>
          <w:rFonts w:hint="eastAsia"/>
          <w:sz w:val="32"/>
          <w:szCs w:val="32"/>
        </w:rPr>
        <w:t>实施</w:t>
      </w:r>
      <w:r>
        <w:rPr>
          <w:rFonts w:hint="eastAsia"/>
          <w:sz w:val="32"/>
          <w:szCs w:val="32"/>
          <w:lang w:eastAsia="zh-CN"/>
        </w:rPr>
        <w:t>沟道整治、暗管排水等工程措施和</w:t>
      </w:r>
      <w:r>
        <w:rPr>
          <w:rFonts w:hint="eastAsia"/>
          <w:sz w:val="32"/>
          <w:szCs w:val="32"/>
        </w:rPr>
        <w:t>农机深耕深松、秸秆粉碎还田、增施有机肥、</w:t>
      </w:r>
      <w:r>
        <w:rPr>
          <w:rFonts w:hint="eastAsia"/>
          <w:sz w:val="32"/>
          <w:szCs w:val="32"/>
          <w:lang w:eastAsia="zh-CN"/>
        </w:rPr>
        <w:t>土壤改良剂、</w:t>
      </w:r>
      <w:r>
        <w:rPr>
          <w:rFonts w:hint="eastAsia"/>
          <w:sz w:val="32"/>
          <w:szCs w:val="32"/>
        </w:rPr>
        <w:t>绿肥还田等农艺措施，持续改良盐碱耕地</w:t>
      </w:r>
      <w:r>
        <w:rPr>
          <w:rFonts w:hint="eastAsia"/>
          <w:sz w:val="32"/>
          <w:szCs w:val="32"/>
          <w:lang w:eastAsia="zh-CN"/>
        </w:rPr>
        <w:t>，</w:t>
      </w:r>
      <w:r>
        <w:rPr>
          <w:rFonts w:hint="eastAsia"/>
          <w:sz w:val="32"/>
          <w:szCs w:val="32"/>
        </w:rPr>
        <w:t>有效遏制耕地质量下降。</w:t>
      </w:r>
      <w:r>
        <w:rPr>
          <w:rFonts w:hint="eastAsia"/>
          <w:b w:val="0"/>
          <w:bCs/>
          <w:sz w:val="32"/>
          <w:szCs w:val="32"/>
        </w:rPr>
        <w:t>中部干旱带扬黄灌区及南部山区</w:t>
      </w:r>
      <w:r>
        <w:rPr>
          <w:rFonts w:hint="eastAsia"/>
          <w:sz w:val="32"/>
          <w:szCs w:val="32"/>
        </w:rPr>
        <w:t>有灌溉条件的区域，加快灌排水设施、高效节水设施等提升改造，大力推广农机深耕深松、秸秆粉碎还田、增施有机肥等农艺措施，防止耕地出现盐碱退化。到2025年，实施盐碱地改良</w:t>
      </w:r>
      <w:r>
        <w:rPr>
          <w:rFonts w:hint="eastAsia"/>
          <w:color w:val="auto"/>
          <w:sz w:val="32"/>
          <w:szCs w:val="32"/>
        </w:rPr>
        <w:t>50</w:t>
      </w:r>
      <w:r>
        <w:rPr>
          <w:rFonts w:hint="eastAsia"/>
          <w:sz w:val="32"/>
          <w:szCs w:val="32"/>
        </w:rPr>
        <w:t>万亩。</w:t>
      </w:r>
    </w:p>
    <w:p>
      <w:pPr>
        <w:pStyle w:val="4"/>
        <w:keepNext/>
        <w:keepLines/>
        <w:pageBreakBefore w:val="0"/>
        <w:widowControl w:val="0"/>
        <w:kinsoku/>
        <w:wordWrap/>
        <w:overflowPunct/>
        <w:topLinePunct w:val="0"/>
        <w:autoSpaceDE/>
        <w:autoSpaceDN/>
        <w:bidi w:val="0"/>
        <w:adjustRightInd/>
        <w:snapToGrid/>
        <w:spacing w:before="260" w:after="260" w:line="240" w:lineRule="auto"/>
        <w:ind w:left="0" w:leftChars="0" w:right="0" w:rightChars="0" w:firstLine="0" w:firstLineChars="0"/>
        <w:jc w:val="center"/>
        <w:textAlignment w:val="auto"/>
        <w:outlineLvl w:val="1"/>
        <w:rPr>
          <w:rFonts w:hint="eastAsia" w:ascii="楷体_GB2312" w:hAnsi="楷体_GB2312" w:eastAsia="楷体_GB2312" w:cs="楷体_GB2312"/>
          <w:sz w:val="32"/>
          <w:szCs w:val="32"/>
        </w:rPr>
      </w:pPr>
      <w:bookmarkStart w:id="110" w:name="_Toc18025"/>
      <w:bookmarkStart w:id="111" w:name="_Toc47634569"/>
      <w:bookmarkStart w:id="112" w:name="_Toc21186"/>
      <w:bookmarkStart w:id="113" w:name="_Toc16815"/>
      <w:bookmarkStart w:id="114" w:name="_Toc13567"/>
      <w:bookmarkStart w:id="115" w:name="_Toc10765"/>
      <w:bookmarkStart w:id="116" w:name="_Toc10203435"/>
      <w:bookmarkStart w:id="117" w:name="_Toc31501"/>
      <w:r>
        <w:rPr>
          <w:rFonts w:hint="eastAsia" w:ascii="楷体_GB2312" w:hAnsi="楷体_GB2312" w:eastAsia="楷体_GB2312" w:cs="楷体_GB2312"/>
          <w:sz w:val="32"/>
          <w:szCs w:val="32"/>
          <w:lang w:eastAsia="zh-CN"/>
        </w:rPr>
        <w:t>第二节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加快推进农业节水</w:t>
      </w:r>
      <w:bookmarkEnd w:id="110"/>
      <w:bookmarkEnd w:id="111"/>
      <w:bookmarkEnd w:id="112"/>
      <w:bookmarkEnd w:id="113"/>
      <w:bookmarkEnd w:id="114"/>
      <w:bookmarkEnd w:id="115"/>
      <w:bookmarkEnd w:id="116"/>
      <w:bookmarkEnd w:id="117"/>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sz w:val="32"/>
          <w:szCs w:val="32"/>
        </w:rPr>
      </w:pPr>
      <w:r>
        <w:rPr>
          <w:rFonts w:hint="eastAsia" w:ascii="仿宋_GB2312" w:hAnsi="仿宋_GB2312" w:eastAsia="仿宋_GB2312" w:cs="仿宋_GB2312"/>
          <w:b w:val="0"/>
          <w:bCs/>
          <w:sz w:val="32"/>
          <w:szCs w:val="32"/>
        </w:rPr>
        <w:t>加强农田水利基础设施建设。</w:t>
      </w:r>
      <w:bookmarkStart w:id="118" w:name="_Toc16981"/>
      <w:bookmarkStart w:id="119" w:name="_Hlk58579661"/>
      <w:r>
        <w:rPr>
          <w:rFonts w:hint="eastAsia"/>
          <w:sz w:val="32"/>
          <w:szCs w:val="32"/>
        </w:rPr>
        <w:t>加快推进实施青铜峡、固海等五大灌区现代化改造，继续推进引黄灌区大中型水利工程续建</w:t>
      </w:r>
      <w:r>
        <w:rPr>
          <w:rFonts w:hint="eastAsia"/>
          <w:sz w:val="32"/>
          <w:szCs w:val="32"/>
          <w:lang w:val="en-US" w:eastAsia="zh-CN"/>
        </w:rPr>
        <w:t>。</w:t>
      </w:r>
      <w:r>
        <w:rPr>
          <w:rFonts w:hint="eastAsia"/>
          <w:sz w:val="32"/>
          <w:szCs w:val="32"/>
        </w:rPr>
        <w:t>加强灌区调蓄工程配套、用水计量设施建设和智能化改造</w:t>
      </w:r>
      <w:bookmarkStart w:id="120" w:name="OLE_LINK8"/>
      <w:r>
        <w:rPr>
          <w:rFonts w:hint="eastAsia"/>
          <w:sz w:val="32"/>
          <w:szCs w:val="32"/>
          <w:lang w:eastAsia="zh-CN"/>
        </w:rPr>
        <w:t>，</w:t>
      </w:r>
      <w:bookmarkEnd w:id="120"/>
      <w:r>
        <w:rPr>
          <w:rFonts w:hint="eastAsia"/>
          <w:sz w:val="32"/>
          <w:szCs w:val="32"/>
        </w:rPr>
        <w:t>完善骨干灌排体系。在引扬黄灌区新建一批干渠调蓄和应急调蓄工程</w:t>
      </w:r>
      <w:r>
        <w:rPr>
          <w:rFonts w:hint="eastAsia"/>
          <w:sz w:val="32"/>
          <w:szCs w:val="32"/>
          <w:lang w:eastAsia="zh-CN"/>
        </w:rPr>
        <w:t>，</w:t>
      </w:r>
      <w:r>
        <w:rPr>
          <w:rFonts w:hint="eastAsia"/>
          <w:sz w:val="32"/>
          <w:szCs w:val="32"/>
        </w:rPr>
        <w:t>南部山区新建彭阳县石家峡等中型水库</w:t>
      </w:r>
      <w:r>
        <w:rPr>
          <w:rFonts w:hint="eastAsia"/>
          <w:sz w:val="32"/>
          <w:szCs w:val="32"/>
          <w:lang w:eastAsia="zh-CN"/>
        </w:rPr>
        <w:t>，</w:t>
      </w:r>
      <w:r>
        <w:rPr>
          <w:rFonts w:hint="eastAsia"/>
          <w:sz w:val="32"/>
          <w:szCs w:val="32"/>
        </w:rPr>
        <w:t>资源化利用非常规水资源。加快银川都市圈中线供水、贺兰山东麓葡萄酒产业供水、沙坡头区兴仁灌区供水、海原县西安扬黄、西吉县扬黄等工程建设</w:t>
      </w:r>
      <w:r>
        <w:rPr>
          <w:rFonts w:hint="eastAsia"/>
          <w:sz w:val="32"/>
          <w:szCs w:val="32"/>
          <w:lang w:eastAsia="zh-CN"/>
        </w:rPr>
        <w:t>，</w:t>
      </w:r>
      <w:r>
        <w:rPr>
          <w:rFonts w:hint="eastAsia"/>
          <w:sz w:val="32"/>
          <w:szCs w:val="32"/>
        </w:rPr>
        <w:t>完善海原县三塘、原州区何家沟灌区配套工程。加快推进水库建设和库坝</w:t>
      </w:r>
      <w:r>
        <w:rPr>
          <w:rFonts w:hint="eastAsia"/>
          <w:sz w:val="32"/>
          <w:szCs w:val="32"/>
          <w:lang w:eastAsia="zh-CN"/>
        </w:rPr>
        <w:t>连</w:t>
      </w:r>
      <w:r>
        <w:rPr>
          <w:rFonts w:hint="eastAsia"/>
          <w:sz w:val="32"/>
          <w:szCs w:val="32"/>
        </w:rPr>
        <w:t>通，努力解决中南部地区发展用水问题。加快推进田间水利基础设施升级改造，重点改造农田设施老化、不配套、标准低的输配水工程，加强田间工程配套，改善田间灌溉和排水条件，进一步提高渠系水利用效率。</w:t>
      </w:r>
      <w:bookmarkEnd w:id="118"/>
      <w:bookmarkEnd w:id="119"/>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sz w:val="32"/>
          <w:szCs w:val="32"/>
        </w:rPr>
      </w:pPr>
      <w:r>
        <w:rPr>
          <w:rFonts w:hint="eastAsia" w:ascii="仿宋_GB2312" w:hAnsi="仿宋_GB2312" w:eastAsia="仿宋_GB2312" w:cs="仿宋_GB2312"/>
          <w:b w:val="0"/>
          <w:bCs/>
          <w:sz w:val="32"/>
          <w:szCs w:val="32"/>
        </w:rPr>
        <w:t>推广高效节水技术。</w:t>
      </w:r>
      <w:r>
        <w:rPr>
          <w:rFonts w:hint="eastAsia" w:ascii="仿宋_GB2312" w:hAnsi="仿宋_GB2312" w:eastAsia="仿宋_GB2312" w:cs="仿宋_GB2312"/>
          <w:b w:val="0"/>
          <w:bCs/>
          <w:sz w:val="32"/>
          <w:szCs w:val="32"/>
          <w:lang w:eastAsia="zh-CN"/>
        </w:rPr>
        <w:t>推进工程节水，</w:t>
      </w:r>
      <w:r>
        <w:rPr>
          <w:rFonts w:hint="eastAsia"/>
          <w:sz w:val="32"/>
          <w:szCs w:val="32"/>
        </w:rPr>
        <w:t>充分利用高标准农田建设，</w:t>
      </w:r>
      <w:r>
        <w:rPr>
          <w:rFonts w:hint="eastAsia"/>
          <w:color w:val="auto"/>
          <w:sz w:val="32"/>
          <w:szCs w:val="32"/>
        </w:rPr>
        <w:t>以</w:t>
      </w:r>
      <w:r>
        <w:rPr>
          <w:rFonts w:hint="eastAsia"/>
          <w:color w:val="auto"/>
          <w:sz w:val="32"/>
          <w:szCs w:val="32"/>
          <w:lang w:val="en-US" w:eastAsia="zh-CN"/>
        </w:rPr>
        <w:t>耕地</w:t>
      </w:r>
      <w:r>
        <w:rPr>
          <w:rFonts w:hint="eastAsia"/>
          <w:color w:val="auto"/>
          <w:sz w:val="32"/>
          <w:szCs w:val="32"/>
        </w:rPr>
        <w:t>为重点</w:t>
      </w:r>
      <w:r>
        <w:rPr>
          <w:rFonts w:hint="eastAsia"/>
          <w:color w:val="auto"/>
          <w:sz w:val="32"/>
          <w:szCs w:val="32"/>
          <w:lang w:val="en-US" w:eastAsia="zh-CN"/>
        </w:rPr>
        <w:t>兼顾葡萄、枸杞等林地园地，</w:t>
      </w:r>
      <w:r>
        <w:rPr>
          <w:rFonts w:hint="eastAsia"/>
          <w:color w:val="auto"/>
          <w:sz w:val="32"/>
          <w:szCs w:val="32"/>
        </w:rPr>
        <w:t>加快</w:t>
      </w:r>
      <w:r>
        <w:rPr>
          <w:rFonts w:hint="eastAsia"/>
          <w:color w:val="auto"/>
          <w:sz w:val="32"/>
          <w:szCs w:val="32"/>
          <w:lang w:eastAsia="zh-CN"/>
        </w:rPr>
        <w:t>实施</w:t>
      </w:r>
      <w:r>
        <w:rPr>
          <w:rFonts w:hint="eastAsia"/>
          <w:color w:val="auto"/>
          <w:sz w:val="32"/>
          <w:szCs w:val="32"/>
        </w:rPr>
        <w:t>高效节水“三个百万亩”工程，</w:t>
      </w:r>
      <w:r>
        <w:rPr>
          <w:rFonts w:hint="eastAsia"/>
          <w:sz w:val="32"/>
          <w:szCs w:val="32"/>
        </w:rPr>
        <w:t>加强渠道防渗、低压管道输水灌溉、喷灌、微灌等高效节水设施建设。</w:t>
      </w:r>
      <w:r>
        <w:rPr>
          <w:rFonts w:hint="eastAsia"/>
          <w:b w:val="0"/>
          <w:bCs/>
          <w:sz w:val="32"/>
          <w:szCs w:val="32"/>
        </w:rPr>
        <w:t>推进农艺节水，</w:t>
      </w:r>
      <w:r>
        <w:rPr>
          <w:rFonts w:hint="eastAsia"/>
          <w:sz w:val="32"/>
          <w:szCs w:val="32"/>
        </w:rPr>
        <w:t>大力推广滴灌、水肥一体化、灌溉自动化等高效节水技术</w:t>
      </w:r>
      <w:r>
        <w:rPr>
          <w:rFonts w:hint="eastAsia"/>
          <w:b w:val="0"/>
          <w:bCs/>
          <w:color w:val="auto"/>
          <w:sz w:val="32"/>
          <w:szCs w:val="32"/>
        </w:rPr>
        <w:t>，</w:t>
      </w:r>
      <w:r>
        <w:rPr>
          <w:rFonts w:hint="eastAsia"/>
          <w:sz w:val="32"/>
          <w:szCs w:val="32"/>
        </w:rPr>
        <w:t>实现精准灌溉、按墒灌溉，提高水资源利用效率。</w:t>
      </w:r>
      <w:r>
        <w:rPr>
          <w:rFonts w:hint="eastAsia"/>
          <w:b w:val="0"/>
          <w:bCs/>
          <w:sz w:val="32"/>
          <w:szCs w:val="32"/>
        </w:rPr>
        <w:t>推进品种节水，</w:t>
      </w:r>
      <w:r>
        <w:rPr>
          <w:rFonts w:hint="eastAsia"/>
          <w:sz w:val="32"/>
          <w:szCs w:val="32"/>
        </w:rPr>
        <w:t>引进选育推广一批节水抗旱小麦、玉米等作物品种，增强抗旱保产能力</w:t>
      </w:r>
      <w:r>
        <w:rPr>
          <w:rFonts w:hint="eastAsia"/>
          <w:sz w:val="32"/>
          <w:szCs w:val="32"/>
          <w:lang w:eastAsia="zh-CN"/>
        </w:rPr>
        <w:t>。</w:t>
      </w:r>
      <w:r>
        <w:rPr>
          <w:rFonts w:hint="eastAsia"/>
          <w:sz w:val="32"/>
          <w:szCs w:val="32"/>
        </w:rPr>
        <w:t>调整优化种植业结构，有序引导青铜峡等13个县（市、区）压减水稻种植面积，改种低耗水作物。禁止农业新增取用地下水，禁止开采深层地下水用于农业灌溉。到2025年，全区累计建设高效节水灌溉面积600万亩</w:t>
      </w:r>
      <w:r>
        <w:rPr>
          <w:rFonts w:hint="eastAsia"/>
          <w:sz w:val="32"/>
          <w:szCs w:val="32"/>
          <w:lang w:eastAsia="zh-CN"/>
        </w:rPr>
        <w:t>，</w:t>
      </w:r>
      <w:r>
        <w:rPr>
          <w:rFonts w:hint="eastAsia"/>
          <w:sz w:val="32"/>
          <w:szCs w:val="32"/>
        </w:rPr>
        <w:t>农田灌溉水利用系数达到0.6</w:t>
      </w:r>
      <w:r>
        <w:rPr>
          <w:rFonts w:hint="eastAsia"/>
          <w:sz w:val="32"/>
          <w:szCs w:val="32"/>
          <w:lang w:eastAsia="zh-CN"/>
        </w:rPr>
        <w:t>以上</w:t>
      </w:r>
      <w:r>
        <w:rPr>
          <w:rFonts w:hint="eastAsia"/>
          <w:sz w:val="32"/>
          <w:szCs w:val="32"/>
        </w:rPr>
        <w:t>。</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sz w:val="32"/>
          <w:szCs w:val="32"/>
        </w:rPr>
      </w:pPr>
      <w:r>
        <w:rPr>
          <w:rFonts w:hint="eastAsia" w:ascii="仿宋_GB2312" w:hAnsi="仿宋_GB2312" w:eastAsia="仿宋_GB2312" w:cs="仿宋_GB2312"/>
          <w:b w:val="0"/>
          <w:bCs/>
          <w:sz w:val="32"/>
          <w:szCs w:val="32"/>
        </w:rPr>
        <w:t>发展旱作节水农业。</w:t>
      </w:r>
      <w:r>
        <w:rPr>
          <w:rFonts w:hint="eastAsia"/>
          <w:sz w:val="32"/>
          <w:szCs w:val="32"/>
        </w:rPr>
        <w:t>发展高效旱作农业</w:t>
      </w:r>
      <w:r>
        <w:rPr>
          <w:rFonts w:hint="eastAsia"/>
          <w:sz w:val="32"/>
          <w:szCs w:val="32"/>
          <w:lang w:eastAsia="zh-CN"/>
        </w:rPr>
        <w:t>，</w:t>
      </w:r>
      <w:r>
        <w:rPr>
          <w:rFonts w:hint="eastAsia"/>
          <w:sz w:val="32"/>
          <w:szCs w:val="32"/>
        </w:rPr>
        <w:t>加大集雨补灌、全膜双垄沟播、聚水保土等高效旱作农业技术集成模式示范，推广保护性耕作蓄水保墒、窑窖集雨补灌、全垄覆膜膜下补灌、穴状覆膜集雨补灌、户用型移动式滴灌等集水补灌技术，示范推广集雨蓄水保墒高效用水栽培与调控技术集成模式。推进农牧结合，建立秋覆膜保墒耕作和“薯、瓜、葵、玉（饲）”多元轮作制度，推行种养循环和饲草基地建设，为发展高效旱作节水农业提供技术支撑和示范样板。每年推广旱作农业示范200万亩。</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color w:val="auto"/>
          <w:sz w:val="32"/>
          <w:szCs w:val="32"/>
        </w:rPr>
      </w:pPr>
      <w:r>
        <w:rPr>
          <w:rFonts w:hint="eastAsia" w:ascii="仿宋_GB2312" w:hAnsi="仿宋_GB2312" w:eastAsia="仿宋_GB2312" w:cs="仿宋_GB2312"/>
          <w:b w:val="0"/>
          <w:bCs/>
          <w:sz w:val="32"/>
          <w:szCs w:val="32"/>
        </w:rPr>
        <w:t>建立农业节约用水机制。</w:t>
      </w:r>
      <w:r>
        <w:rPr>
          <w:rFonts w:hint="eastAsia"/>
          <w:sz w:val="32"/>
          <w:szCs w:val="32"/>
        </w:rPr>
        <w:t>强化水资源刚性约束机制，坚持“以水定地、以水定产、量水而行”的原则，合理利用黄河水、地表水、地下水，充分利用降水，重视非常规水利用，加强多水联用。完善水权分配机制。实施“水权到户、定额管理、计量到口、管理到户”的精准管水用水机制。完善水价形成机制，农业水价实行“骨干工程水价+末级渠系水价”的终端水价制度。建立健全农业用水精准补贴和节水奖励机制。完善运行管理机制，落实运行管护主体及责任，坚持市场化、专业化、信息化路径</w:t>
      </w:r>
      <w:r>
        <w:rPr>
          <w:rFonts w:hint="eastAsia"/>
          <w:sz w:val="32"/>
          <w:szCs w:val="32"/>
          <w:lang w:eastAsia="zh-CN"/>
        </w:rPr>
        <w:t>，</w:t>
      </w:r>
      <w:r>
        <w:rPr>
          <w:rFonts w:hint="eastAsia"/>
          <w:color w:val="auto"/>
          <w:sz w:val="32"/>
          <w:szCs w:val="32"/>
          <w:lang w:eastAsia="zh-CN"/>
        </w:rPr>
        <w:t>大力推广</w:t>
      </w:r>
      <w:r>
        <w:rPr>
          <w:rFonts w:hint="eastAsia"/>
          <w:color w:val="auto"/>
          <w:sz w:val="32"/>
          <w:szCs w:val="32"/>
          <w:lang w:val="en-US" w:eastAsia="zh-CN"/>
        </w:rPr>
        <w:t>盐池县“村党支部+合作社+农户”高效节水农业灌溉运行管理模式，</w:t>
      </w:r>
      <w:r>
        <w:rPr>
          <w:rFonts w:hint="eastAsia"/>
          <w:color w:val="auto"/>
          <w:sz w:val="32"/>
          <w:szCs w:val="32"/>
        </w:rPr>
        <w:t>因地制宜推广多种管理模式，实现工程良性运行</w:t>
      </w:r>
      <w:r>
        <w:rPr>
          <w:rFonts w:hint="eastAsia"/>
          <w:color w:val="auto"/>
          <w:sz w:val="32"/>
          <w:szCs w:val="32"/>
          <w:lang w:eastAsia="zh-CN"/>
        </w:rPr>
        <w:t>，</w:t>
      </w:r>
      <w:r>
        <w:rPr>
          <w:rFonts w:hint="eastAsia"/>
          <w:color w:val="auto"/>
          <w:sz w:val="32"/>
          <w:szCs w:val="32"/>
          <w:lang w:val="en-US" w:eastAsia="zh-CN"/>
        </w:rPr>
        <w:t>多举措多途径多方位提升农业节水效益</w:t>
      </w:r>
      <w:r>
        <w:rPr>
          <w:rFonts w:hint="eastAsia"/>
          <w:color w:val="auto"/>
          <w:sz w:val="32"/>
          <w:szCs w:val="32"/>
        </w:rPr>
        <w:t>。</w:t>
      </w:r>
    </w:p>
    <w:p>
      <w:pPr>
        <w:pStyle w:val="4"/>
        <w:keepNext/>
        <w:keepLines/>
        <w:pageBreakBefore w:val="0"/>
        <w:widowControl w:val="0"/>
        <w:kinsoku/>
        <w:wordWrap/>
        <w:overflowPunct/>
        <w:topLinePunct w:val="0"/>
        <w:autoSpaceDE/>
        <w:autoSpaceDN/>
        <w:bidi w:val="0"/>
        <w:adjustRightInd/>
        <w:snapToGrid/>
        <w:spacing w:before="260" w:after="260" w:line="240" w:lineRule="auto"/>
        <w:ind w:left="0" w:leftChars="0" w:right="0" w:rightChars="0" w:firstLine="0" w:firstLineChars="0"/>
        <w:jc w:val="center"/>
        <w:textAlignment w:val="auto"/>
        <w:outlineLvl w:val="1"/>
        <w:rPr>
          <w:rFonts w:hint="eastAsia" w:ascii="楷体_GB2312" w:hAnsi="楷体_GB2312" w:eastAsia="楷体_GB2312" w:cs="楷体_GB2312"/>
          <w:sz w:val="32"/>
          <w:szCs w:val="32"/>
        </w:rPr>
      </w:pPr>
      <w:bookmarkStart w:id="121" w:name="_Toc15190"/>
      <w:bookmarkStart w:id="122" w:name="_Toc21902"/>
      <w:bookmarkStart w:id="123" w:name="_Toc26402"/>
      <w:bookmarkStart w:id="124" w:name="_Toc20548"/>
      <w:bookmarkStart w:id="125" w:name="_Toc47634570"/>
      <w:bookmarkStart w:id="126" w:name="_Toc1285"/>
      <w:bookmarkStart w:id="127" w:name="_Toc23283"/>
      <w:bookmarkStart w:id="128" w:name="_Toc10203436"/>
      <w:r>
        <w:rPr>
          <w:rFonts w:hint="eastAsia" w:ascii="楷体_GB2312" w:hAnsi="楷体_GB2312" w:eastAsia="楷体_GB2312" w:cs="楷体_GB2312"/>
          <w:sz w:val="32"/>
          <w:szCs w:val="32"/>
          <w:lang w:eastAsia="zh-CN"/>
        </w:rPr>
        <w:t>第三节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开展动植物资源普查与保护</w:t>
      </w:r>
      <w:bookmarkEnd w:id="121"/>
      <w:bookmarkEnd w:id="122"/>
      <w:bookmarkEnd w:id="123"/>
      <w:bookmarkEnd w:id="124"/>
      <w:bookmarkEnd w:id="125"/>
      <w:bookmarkEnd w:id="126"/>
      <w:bookmarkEnd w:id="127"/>
      <w:bookmarkEnd w:id="128"/>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sz w:val="32"/>
          <w:szCs w:val="32"/>
        </w:rPr>
      </w:pPr>
      <w:r>
        <w:rPr>
          <w:rFonts w:hint="eastAsia" w:ascii="仿宋_GB2312" w:hAnsi="仿宋_GB2312" w:eastAsia="仿宋_GB2312" w:cs="仿宋_GB2312"/>
          <w:b w:val="0"/>
          <w:bCs/>
          <w:sz w:val="32"/>
          <w:szCs w:val="32"/>
        </w:rPr>
        <w:t>开展农业物种资源保护。</w:t>
      </w:r>
      <w:r>
        <w:rPr>
          <w:rFonts w:hint="eastAsia"/>
          <w:sz w:val="32"/>
          <w:szCs w:val="32"/>
        </w:rPr>
        <w:t>按照农业农村部统一部署，扎实开展农作物种质资源、畜禽遗传资源和水产种质资源普查，全面摸清宁夏区域种质资源种类、数量、分布及主要性状等基本情况，建立宁夏农业生物种质资源数据库。收集全区珍惜、特有资源和地方品种，分类建设农作物、畜禽、水产等种质资源库（场、区、圃），加强种质资源鉴定、保存。</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Ansi="仿宋_GB2312" w:cs="仿宋_GB2312"/>
          <w:sz w:val="32"/>
          <w:szCs w:val="32"/>
        </w:rPr>
      </w:pPr>
      <w:r>
        <w:rPr>
          <w:rFonts w:hint="eastAsia" w:ascii="仿宋_GB2312" w:hAnsi="仿宋_GB2312" w:eastAsia="仿宋_GB2312" w:cs="仿宋_GB2312"/>
          <w:b w:val="0"/>
          <w:bCs/>
          <w:sz w:val="32"/>
          <w:szCs w:val="32"/>
        </w:rPr>
        <w:t>加强农业生物多样性保护。</w:t>
      </w:r>
      <w:r>
        <w:rPr>
          <w:rFonts w:hint="eastAsia"/>
          <w:sz w:val="32"/>
          <w:szCs w:val="32"/>
        </w:rPr>
        <w:t>加强野生植物资源保护，围绕黄河、贺兰山、罗山、六盘山生态保护，对全区现有植物野生原生境保护区进行梳理，建设野生动植物自然保护区，推进濒危野生植物资源原生境保护、移植保存和人工繁育。开展黄河流域陆域生物、干流鱼类等生物多样性本底、受威协状况及保护状况调查与评估，科学研判，提出政策措施</w:t>
      </w:r>
      <w:r>
        <w:rPr>
          <w:rFonts w:hint="eastAsia"/>
          <w:sz w:val="32"/>
          <w:szCs w:val="32"/>
          <w:lang w:eastAsia="zh-CN"/>
        </w:rPr>
        <w:t>。</w:t>
      </w:r>
      <w:r>
        <w:rPr>
          <w:rFonts w:hint="eastAsia"/>
          <w:sz w:val="32"/>
          <w:szCs w:val="32"/>
        </w:rPr>
        <w:t>实施水生生物增殖放流活动，</w:t>
      </w:r>
      <w:bookmarkStart w:id="129" w:name="OLE_LINK12"/>
      <w:r>
        <w:rPr>
          <w:rFonts w:hint="eastAsia" w:ascii="仿宋_GB2312" w:hAnsi="仿宋_GB2312" w:eastAsia="仿宋_GB2312" w:cs="仿宋_GB2312"/>
          <w:b w:val="0"/>
          <w:bCs w:val="0"/>
          <w:sz w:val="32"/>
          <w:szCs w:val="32"/>
          <w:lang w:eastAsia="zh-CN"/>
        </w:rPr>
        <w:t>加大黄河濒危和特有鱼类增殖放流力度，促进黄河流域水生生物多样性恢复。加强渔业资源保护，实施黄河禁渔期制度，强化渔政执法，依法打击各类破坏水生生物资源和渔业生态环境的行为</w:t>
      </w:r>
      <w:r>
        <w:rPr>
          <w:rFonts w:hint="eastAsia" w:ascii="仿宋_GB2312" w:hAnsi="仿宋_GB2312" w:eastAsia="仿宋_GB2312" w:cs="仿宋_GB2312"/>
          <w:b w:val="0"/>
          <w:bCs w:val="0"/>
          <w:color w:val="auto"/>
          <w:sz w:val="32"/>
          <w:szCs w:val="32"/>
          <w:lang w:eastAsia="zh-CN"/>
        </w:rPr>
        <w:t>。</w:t>
      </w:r>
      <w:r>
        <w:rPr>
          <w:rFonts w:hint="eastAsia" w:ascii="仿宋_GB2312" w:hAnsi="仿宋_GB2312" w:eastAsia="仿宋_GB2312" w:cs="仿宋_GB2312"/>
          <w:b w:val="0"/>
          <w:bCs w:val="0"/>
          <w:sz w:val="32"/>
          <w:szCs w:val="32"/>
          <w:lang w:eastAsia="zh-CN"/>
        </w:rPr>
        <w:t>加强水产良种保护选育推广，加快国家级水产种质资源场建设进度。</w:t>
      </w:r>
      <w:bookmarkEnd w:id="129"/>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sz w:val="32"/>
          <w:szCs w:val="32"/>
        </w:rPr>
      </w:pPr>
      <w:r>
        <w:rPr>
          <w:rFonts w:hint="eastAsia" w:ascii="仿宋_GB2312" w:hAnsi="仿宋_GB2312" w:eastAsia="仿宋_GB2312" w:cs="仿宋_GB2312"/>
          <w:b w:val="0"/>
          <w:bCs/>
          <w:sz w:val="32"/>
          <w:szCs w:val="32"/>
        </w:rPr>
        <w:t>加强外来物种风险监测与防控。</w:t>
      </w:r>
      <w:r>
        <w:rPr>
          <w:rFonts w:hint="eastAsia"/>
          <w:sz w:val="32"/>
          <w:szCs w:val="32"/>
        </w:rPr>
        <w:t>依法严格外来物种引种审批，强化引种后管控</w:t>
      </w:r>
      <w:r>
        <w:rPr>
          <w:rFonts w:hint="eastAsia"/>
          <w:sz w:val="32"/>
          <w:szCs w:val="32"/>
          <w:lang w:eastAsia="zh-CN"/>
        </w:rPr>
        <w:t>。</w:t>
      </w:r>
      <w:r>
        <w:rPr>
          <w:rFonts w:hint="eastAsia"/>
          <w:sz w:val="32"/>
          <w:szCs w:val="32"/>
        </w:rPr>
        <w:t>以种子流通企业、种子繁育基地为重点，扎实开展外来入侵物种普查和监测，严格实施外来物种分级分类管理制度</w:t>
      </w:r>
      <w:r>
        <w:rPr>
          <w:rFonts w:hint="eastAsia"/>
          <w:sz w:val="32"/>
          <w:szCs w:val="32"/>
          <w:lang w:eastAsia="zh-CN"/>
        </w:rPr>
        <w:t>。</w:t>
      </w:r>
      <w:r>
        <w:rPr>
          <w:rFonts w:hint="eastAsia"/>
          <w:sz w:val="32"/>
          <w:szCs w:val="32"/>
        </w:rPr>
        <w:t>加强外来入侵物种阻截防控，有计划、有针对性地对外来入侵生物实施动态监测，在关键区域布设阻隔带，有效遏制草地贪夜蛾等重大危害入侵生物扩散蔓延</w:t>
      </w:r>
      <w:r>
        <w:rPr>
          <w:rFonts w:hint="eastAsia"/>
          <w:sz w:val="32"/>
          <w:szCs w:val="32"/>
          <w:lang w:eastAsia="zh-CN"/>
        </w:rPr>
        <w:t>。</w:t>
      </w:r>
      <w:r>
        <w:rPr>
          <w:rFonts w:hint="eastAsia"/>
          <w:sz w:val="32"/>
          <w:szCs w:val="32"/>
        </w:rPr>
        <w:t>加大入侵生物综合防治力度，建立综合防治示范区，大力推广生物防治措施。</w:t>
      </w:r>
    </w:p>
    <w:tbl>
      <w:tblPr>
        <w:tblStyle w:val="16"/>
        <w:tblW w:w="8800" w:type="dxa"/>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880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0" w:hRule="atLeast"/>
        </w:trPr>
        <w:tc>
          <w:tcPr>
            <w:tcW w:w="8800" w:type="dxa"/>
            <w:vAlign w:val="center"/>
          </w:tcPr>
          <w:p>
            <w:pPr>
              <w:widowControl/>
              <w:spacing w:line="240" w:lineRule="exact"/>
              <w:jc w:val="center"/>
              <w:rPr>
                <w:szCs w:val="21"/>
              </w:rPr>
            </w:pPr>
            <w:r>
              <w:rPr>
                <w:rFonts w:hint="eastAsia" w:ascii="黑体" w:hAnsi="黑体" w:eastAsia="黑体" w:cs="黑体"/>
                <w:b w:val="0"/>
                <w:bCs w:val="0"/>
                <w:kern w:val="0"/>
                <w:sz w:val="22"/>
                <w:szCs w:val="22"/>
              </w:rPr>
              <w:t>专栏</w:t>
            </w:r>
            <w:r>
              <w:rPr>
                <w:rFonts w:hint="eastAsia" w:ascii="黑体" w:hAnsi="黑体" w:eastAsia="黑体" w:cs="黑体"/>
                <w:b w:val="0"/>
                <w:bCs w:val="0"/>
                <w:kern w:val="0"/>
                <w:sz w:val="22"/>
                <w:szCs w:val="22"/>
                <w:lang w:val="en-US" w:eastAsia="zh-CN"/>
              </w:rPr>
              <w:t xml:space="preserve">1 </w:t>
            </w:r>
            <w:r>
              <w:rPr>
                <w:rFonts w:hint="eastAsia" w:ascii="黑体" w:hAnsi="黑体" w:eastAsia="黑体" w:cs="黑体"/>
                <w:b w:val="0"/>
                <w:bCs w:val="0"/>
                <w:kern w:val="0"/>
                <w:sz w:val="22"/>
                <w:szCs w:val="22"/>
              </w:rPr>
              <w:t>农业资源保护利用工程</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370" w:hRule="atLeast"/>
        </w:trPr>
        <w:tc>
          <w:tcPr>
            <w:tcW w:w="8800" w:type="dxa"/>
          </w:tcPr>
          <w:p>
            <w:pPr>
              <w:pStyle w:val="14"/>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2"/>
                <w:szCs w:val="22"/>
              </w:rPr>
            </w:pPr>
            <w:r>
              <w:rPr>
                <w:rFonts w:hint="eastAsia" w:ascii="楷体_GB2312" w:hAnsi="楷体_GB2312" w:eastAsia="楷体_GB2312" w:cs="楷体_GB2312"/>
                <w:b/>
                <w:bCs/>
                <w:sz w:val="22"/>
                <w:szCs w:val="22"/>
              </w:rPr>
              <w:t>1.高标准农田建设。</w:t>
            </w:r>
            <w:r>
              <w:rPr>
                <w:rFonts w:hint="eastAsia" w:ascii="仿宋_GB2312" w:hAnsi="仿宋_GB2312" w:eastAsia="仿宋_GB2312" w:cs="仿宋_GB2312"/>
                <w:b w:val="0"/>
                <w:bCs w:val="0"/>
                <w:sz w:val="22"/>
                <w:szCs w:val="22"/>
              </w:rPr>
              <w:t>以永久基本农田、粮食生产功能区为重点，开展高标准农田建设，到</w:t>
            </w:r>
            <w:r>
              <w:rPr>
                <w:rFonts w:hint="eastAsia" w:ascii="Times New Roman" w:hAnsi="Times New Roman" w:eastAsia="仿宋_GB2312" w:cs="Times New Roman"/>
                <w:b w:val="0"/>
                <w:kern w:val="2"/>
                <w:sz w:val="22"/>
                <w:szCs w:val="22"/>
                <w:lang w:val="en-US" w:eastAsia="zh-CN" w:bidi="ar-SA"/>
              </w:rPr>
              <w:t>2025</w:t>
            </w:r>
            <w:r>
              <w:rPr>
                <w:rFonts w:hint="eastAsia" w:ascii="仿宋_GB2312" w:hAnsi="仿宋_GB2312" w:eastAsia="仿宋_GB2312" w:cs="仿宋_GB2312"/>
                <w:b w:val="0"/>
                <w:bCs w:val="0"/>
                <w:sz w:val="22"/>
                <w:szCs w:val="22"/>
              </w:rPr>
              <w:t>年，建成</w:t>
            </w:r>
            <w:r>
              <w:rPr>
                <w:rFonts w:hint="eastAsia" w:ascii="Times New Roman" w:hAnsi="Times New Roman" w:eastAsia="仿宋_GB2312" w:cs="Times New Roman"/>
                <w:b w:val="0"/>
                <w:kern w:val="2"/>
                <w:sz w:val="22"/>
                <w:szCs w:val="22"/>
                <w:lang w:val="en-US" w:eastAsia="zh-CN" w:bidi="ar-SA"/>
              </w:rPr>
              <w:t>1100</w:t>
            </w:r>
            <w:r>
              <w:rPr>
                <w:rFonts w:hint="eastAsia" w:ascii="仿宋_GB2312" w:hAnsi="仿宋_GB2312" w:eastAsia="仿宋_GB2312" w:cs="仿宋_GB2312"/>
                <w:b w:val="0"/>
                <w:bCs w:val="0"/>
                <w:sz w:val="22"/>
                <w:szCs w:val="22"/>
              </w:rPr>
              <w:t>万亩集中连片高标准农田，改造提升</w:t>
            </w:r>
            <w:r>
              <w:rPr>
                <w:rFonts w:hint="eastAsia" w:ascii="Times New Roman" w:hAnsi="Times New Roman" w:eastAsia="仿宋_GB2312" w:cs="Times New Roman"/>
                <w:b w:val="0"/>
                <w:kern w:val="2"/>
                <w:sz w:val="22"/>
                <w:szCs w:val="22"/>
                <w:lang w:val="en-US" w:eastAsia="zh-CN" w:bidi="ar-SA"/>
              </w:rPr>
              <w:t>160</w:t>
            </w:r>
            <w:r>
              <w:rPr>
                <w:rFonts w:hint="eastAsia" w:ascii="仿宋_GB2312" w:hAnsi="仿宋_GB2312" w:eastAsia="仿宋_GB2312" w:cs="仿宋_GB2312"/>
                <w:b w:val="0"/>
                <w:bCs w:val="0"/>
                <w:sz w:val="22"/>
                <w:szCs w:val="22"/>
              </w:rPr>
              <w:t>万亩高标准农田。</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2"/>
                <w:szCs w:val="22"/>
              </w:rPr>
            </w:pPr>
            <w:r>
              <w:rPr>
                <w:rFonts w:hint="eastAsia" w:ascii="楷体_GB2312" w:hAnsi="楷体_GB2312" w:eastAsia="楷体_GB2312" w:cs="楷体_GB2312"/>
                <w:b/>
                <w:bCs/>
                <w:kern w:val="2"/>
                <w:sz w:val="22"/>
                <w:szCs w:val="22"/>
                <w:lang w:val="en-US" w:eastAsia="zh-CN" w:bidi="ar-SA"/>
              </w:rPr>
              <w:t>2.耕地保护与质量提升。</w:t>
            </w:r>
            <w:r>
              <w:rPr>
                <w:rFonts w:hint="eastAsia" w:ascii="仿宋_GB2312" w:hAnsi="仿宋_GB2312" w:eastAsia="仿宋_GB2312" w:cs="仿宋_GB2312"/>
                <w:b w:val="0"/>
                <w:bCs w:val="0"/>
                <w:sz w:val="22"/>
                <w:szCs w:val="22"/>
              </w:rPr>
              <w:t>开展耕地质量提升</w:t>
            </w:r>
            <w:r>
              <w:rPr>
                <w:rFonts w:hint="eastAsia" w:ascii="仿宋_GB2312" w:hAnsi="仿宋_GB2312" w:eastAsia="仿宋_GB2312" w:cs="仿宋_GB2312"/>
                <w:b w:val="0"/>
                <w:bCs w:val="0"/>
                <w:sz w:val="22"/>
                <w:szCs w:val="22"/>
                <w:lang w:eastAsia="zh-CN"/>
              </w:rPr>
              <w:t>、</w:t>
            </w:r>
            <w:r>
              <w:rPr>
                <w:rFonts w:hint="eastAsia" w:ascii="仿宋_GB2312" w:hAnsi="仿宋_GB2312" w:eastAsia="仿宋_GB2312" w:cs="仿宋_GB2312"/>
                <w:b w:val="0"/>
                <w:bCs w:val="0"/>
                <w:sz w:val="22"/>
                <w:szCs w:val="22"/>
              </w:rPr>
              <w:t>耕地绿色减肥增效、有机肥施用技术等示范</w:t>
            </w:r>
            <w:r>
              <w:rPr>
                <w:rFonts w:hint="eastAsia" w:ascii="Times New Roman" w:hAnsi="Times New Roman" w:eastAsia="仿宋_GB2312" w:cs="Times New Roman"/>
                <w:sz w:val="22"/>
                <w:szCs w:val="22"/>
              </w:rPr>
              <w:t>500</w:t>
            </w:r>
            <w:r>
              <w:rPr>
                <w:rFonts w:hint="eastAsia" w:ascii="仿宋_GB2312" w:hAnsi="仿宋_GB2312" w:eastAsia="仿宋_GB2312" w:cs="仿宋_GB2312"/>
                <w:b w:val="0"/>
                <w:bCs w:val="0"/>
                <w:sz w:val="22"/>
                <w:szCs w:val="22"/>
              </w:rPr>
              <w:t>万亩，应用商品有机肥</w:t>
            </w:r>
            <w:r>
              <w:rPr>
                <w:rFonts w:hint="eastAsia" w:ascii="Times New Roman" w:hAnsi="Times New Roman" w:eastAsia="仿宋_GB2312" w:cs="Times New Roman"/>
                <w:sz w:val="22"/>
                <w:szCs w:val="22"/>
              </w:rPr>
              <w:t>50</w:t>
            </w:r>
            <w:r>
              <w:rPr>
                <w:rFonts w:hint="eastAsia" w:ascii="仿宋_GB2312" w:hAnsi="仿宋_GB2312" w:eastAsia="仿宋_GB2312" w:cs="仿宋_GB2312"/>
                <w:b w:val="0"/>
                <w:bCs w:val="0"/>
                <w:sz w:val="22"/>
                <w:szCs w:val="22"/>
              </w:rPr>
              <w:t>万吨，治理退化耕地</w:t>
            </w:r>
            <w:r>
              <w:rPr>
                <w:rFonts w:hint="eastAsia" w:ascii="Times New Roman" w:hAnsi="Times New Roman" w:eastAsia="仿宋_GB2312" w:cs="Times New Roman"/>
                <w:sz w:val="22"/>
                <w:szCs w:val="22"/>
              </w:rPr>
              <w:t>50</w:t>
            </w:r>
            <w:r>
              <w:rPr>
                <w:rFonts w:hint="eastAsia" w:ascii="仿宋_GB2312" w:hAnsi="仿宋_GB2312" w:eastAsia="仿宋_GB2312" w:cs="仿宋_GB2312"/>
                <w:b w:val="0"/>
                <w:bCs w:val="0"/>
                <w:sz w:val="22"/>
                <w:szCs w:val="22"/>
              </w:rPr>
              <w:t>万亩。</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2"/>
                <w:szCs w:val="22"/>
              </w:rPr>
            </w:pPr>
            <w:r>
              <w:rPr>
                <w:rFonts w:hint="eastAsia" w:ascii="楷体_GB2312" w:hAnsi="楷体_GB2312" w:eastAsia="楷体_GB2312" w:cs="楷体_GB2312"/>
                <w:b/>
                <w:bCs/>
                <w:color w:val="auto"/>
                <w:sz w:val="22"/>
                <w:szCs w:val="22"/>
              </w:rPr>
              <w:t>3.土壤</w:t>
            </w:r>
            <w:r>
              <w:rPr>
                <w:rFonts w:hint="eastAsia" w:ascii="楷体_GB2312" w:hAnsi="楷体_GB2312" w:eastAsia="楷体_GB2312" w:cs="楷体_GB2312"/>
                <w:b/>
                <w:bCs/>
                <w:kern w:val="2"/>
                <w:sz w:val="22"/>
                <w:szCs w:val="22"/>
                <w:lang w:val="en-US" w:eastAsia="zh-CN" w:bidi="ar-SA"/>
              </w:rPr>
              <w:t>盐碱化</w:t>
            </w:r>
            <w:r>
              <w:rPr>
                <w:rFonts w:hint="eastAsia" w:ascii="楷体_GB2312" w:hAnsi="楷体_GB2312" w:eastAsia="楷体_GB2312" w:cs="楷体_GB2312"/>
                <w:b/>
                <w:bCs/>
                <w:color w:val="auto"/>
                <w:sz w:val="22"/>
                <w:szCs w:val="22"/>
              </w:rPr>
              <w:t>治理。</w:t>
            </w:r>
            <w:r>
              <w:rPr>
                <w:rFonts w:hint="eastAsia" w:ascii="仿宋_GB2312" w:hAnsi="仿宋_GB2312" w:eastAsia="仿宋_GB2312" w:cs="仿宋_GB2312"/>
                <w:color w:val="auto"/>
                <w:sz w:val="22"/>
                <w:szCs w:val="22"/>
              </w:rPr>
              <w:t>选择轻中度盐碱化农田，开展盐碱地治理高标准农田建设示范。完善农田灌排体系，针对不同盐碱地类型采取工程、农艺、化学、生物等综合措施降低土壤全盐含量、提高耕地质量。推广水肥一体化、测土配方施肥、秸秆还田、种植绿肥、增施有机肥等改土培肥技术。</w:t>
            </w:r>
          </w:p>
          <w:p>
            <w:pPr>
              <w:pStyle w:val="14"/>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jc w:val="both"/>
              <w:textAlignment w:val="auto"/>
              <w:outlineLvl w:val="9"/>
              <w:rPr>
                <w:rFonts w:hint="eastAsia" w:ascii="仿宋_GB2312" w:hAnsi="仿宋_GB2312" w:eastAsia="仿宋_GB2312" w:cs="仿宋_GB2312"/>
                <w:b w:val="0"/>
                <w:bCs w:val="0"/>
                <w:sz w:val="22"/>
                <w:szCs w:val="22"/>
              </w:rPr>
            </w:pPr>
            <w:r>
              <w:rPr>
                <w:rFonts w:hint="eastAsia" w:ascii="楷体_GB2312" w:hAnsi="楷体_GB2312" w:eastAsia="楷体_GB2312" w:cs="楷体_GB2312"/>
                <w:b/>
                <w:bCs/>
                <w:color w:val="auto"/>
                <w:kern w:val="2"/>
                <w:sz w:val="22"/>
                <w:szCs w:val="22"/>
                <w:lang w:val="en-US" w:eastAsia="zh-CN" w:bidi="ar-SA"/>
              </w:rPr>
              <w:t>4.高效节水提升改造。</w:t>
            </w:r>
            <w:r>
              <w:rPr>
                <w:rFonts w:hint="eastAsia" w:ascii="仿宋_GB2312" w:hAnsi="仿宋_GB2312" w:eastAsia="仿宋_GB2312" w:cs="仿宋_GB2312"/>
                <w:b w:val="0"/>
                <w:bCs w:val="0"/>
                <w:sz w:val="22"/>
                <w:szCs w:val="22"/>
              </w:rPr>
              <w:t>推广农业节水控水、因水施种模式，推进省级节水型社会示范区建设。加快实施高效节水农业“三个百万亩”工程。北部引黄灌区通过节水挖潜新增高效节水农业</w:t>
            </w:r>
            <w:r>
              <w:rPr>
                <w:rFonts w:hint="eastAsia" w:ascii="Times New Roman" w:hAnsi="Times New Roman" w:eastAsia="仿宋_GB2312" w:cs="Times New Roman"/>
                <w:b w:val="0"/>
                <w:kern w:val="2"/>
                <w:sz w:val="22"/>
                <w:szCs w:val="22"/>
                <w:lang w:val="en-US" w:eastAsia="zh-CN" w:bidi="ar-SA"/>
              </w:rPr>
              <w:t>100</w:t>
            </w:r>
            <w:r>
              <w:rPr>
                <w:rFonts w:hint="eastAsia" w:ascii="仿宋_GB2312" w:hAnsi="仿宋_GB2312" w:eastAsia="仿宋_GB2312" w:cs="仿宋_GB2312"/>
                <w:b w:val="0"/>
                <w:bCs w:val="0"/>
                <w:sz w:val="22"/>
                <w:szCs w:val="22"/>
              </w:rPr>
              <w:t>万亩；中部干旱带通过提质增强新增及改造提升高效节水农业</w:t>
            </w:r>
            <w:r>
              <w:rPr>
                <w:rFonts w:hint="eastAsia" w:ascii="Times New Roman" w:hAnsi="Times New Roman" w:eastAsia="仿宋_GB2312" w:cs="Times New Roman"/>
                <w:b w:val="0"/>
                <w:kern w:val="2"/>
                <w:sz w:val="22"/>
                <w:szCs w:val="22"/>
                <w:lang w:val="en-US" w:eastAsia="zh-CN" w:bidi="ar-SA"/>
              </w:rPr>
              <w:t>100</w:t>
            </w:r>
            <w:r>
              <w:rPr>
                <w:rFonts w:hint="eastAsia" w:ascii="仿宋_GB2312" w:hAnsi="仿宋_GB2312" w:eastAsia="仿宋_GB2312" w:cs="仿宋_GB2312"/>
                <w:b w:val="0"/>
                <w:bCs w:val="0"/>
                <w:sz w:val="22"/>
                <w:szCs w:val="22"/>
              </w:rPr>
              <w:t>万亩；南部山区通过开源扩面改造提升及新增高效节水农业</w:t>
            </w:r>
            <w:r>
              <w:rPr>
                <w:rFonts w:hint="eastAsia" w:ascii="Times New Roman" w:hAnsi="Times New Roman" w:eastAsia="仿宋_GB2312" w:cs="Times New Roman"/>
                <w:b w:val="0"/>
                <w:kern w:val="2"/>
                <w:sz w:val="22"/>
                <w:szCs w:val="22"/>
                <w:lang w:val="en-US" w:eastAsia="zh-CN" w:bidi="ar-SA"/>
              </w:rPr>
              <w:t>100</w:t>
            </w:r>
            <w:r>
              <w:rPr>
                <w:rFonts w:hint="eastAsia" w:ascii="仿宋_GB2312" w:hAnsi="仿宋_GB2312" w:eastAsia="仿宋_GB2312" w:cs="仿宋_GB2312"/>
                <w:b w:val="0"/>
                <w:bCs w:val="0"/>
                <w:sz w:val="22"/>
                <w:szCs w:val="22"/>
              </w:rPr>
              <w:t>万亩。到</w:t>
            </w:r>
            <w:r>
              <w:rPr>
                <w:rFonts w:hint="eastAsia" w:ascii="Times New Roman" w:hAnsi="Times New Roman" w:eastAsia="仿宋_GB2312" w:cs="Times New Roman"/>
                <w:b w:val="0"/>
                <w:kern w:val="2"/>
                <w:sz w:val="22"/>
                <w:szCs w:val="22"/>
                <w:lang w:val="en-US" w:eastAsia="zh-CN" w:bidi="ar-SA"/>
              </w:rPr>
              <w:t>2025</w:t>
            </w:r>
            <w:r>
              <w:rPr>
                <w:rFonts w:hint="eastAsia" w:ascii="仿宋_GB2312" w:hAnsi="仿宋_GB2312" w:eastAsia="仿宋_GB2312" w:cs="仿宋_GB2312"/>
                <w:b w:val="0"/>
                <w:bCs w:val="0"/>
                <w:sz w:val="22"/>
                <w:szCs w:val="22"/>
              </w:rPr>
              <w:t>年，全区高效节水灌溉面积</w:t>
            </w:r>
            <w:r>
              <w:rPr>
                <w:rFonts w:hint="eastAsia" w:ascii="仿宋_GB2312" w:hAnsi="仿宋_GB2312" w:eastAsia="仿宋_GB2312" w:cs="仿宋_GB2312"/>
                <w:b w:val="0"/>
                <w:bCs w:val="0"/>
                <w:sz w:val="22"/>
                <w:szCs w:val="22"/>
                <w:lang w:eastAsia="zh-CN"/>
              </w:rPr>
              <w:t>达到</w:t>
            </w:r>
            <w:r>
              <w:rPr>
                <w:rFonts w:hint="eastAsia" w:ascii="Times New Roman" w:hAnsi="Times New Roman" w:eastAsia="仿宋_GB2312" w:cs="Times New Roman"/>
                <w:b w:val="0"/>
                <w:kern w:val="2"/>
                <w:sz w:val="22"/>
                <w:szCs w:val="22"/>
                <w:lang w:val="en-US" w:eastAsia="zh-CN" w:bidi="ar-SA"/>
              </w:rPr>
              <w:t>600</w:t>
            </w:r>
            <w:r>
              <w:rPr>
                <w:rFonts w:hint="eastAsia" w:ascii="仿宋_GB2312" w:hAnsi="仿宋_GB2312" w:eastAsia="仿宋_GB2312" w:cs="仿宋_GB2312"/>
                <w:b w:val="0"/>
                <w:bCs w:val="0"/>
                <w:sz w:val="22"/>
                <w:szCs w:val="22"/>
              </w:rPr>
              <w:t>万亩。</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szCs w:val="21"/>
              </w:rPr>
            </w:pPr>
            <w:r>
              <w:rPr>
                <w:rFonts w:hint="eastAsia" w:ascii="楷体_GB2312" w:hAnsi="楷体_GB2312" w:eastAsia="楷体_GB2312" w:cs="楷体_GB2312"/>
                <w:b/>
                <w:bCs/>
                <w:color w:val="auto"/>
                <w:sz w:val="22"/>
                <w:szCs w:val="22"/>
                <w:lang w:val="en-US" w:eastAsia="zh-CN"/>
              </w:rPr>
              <w:t>5.农业物种资源普查与保护。</w:t>
            </w:r>
            <w:r>
              <w:rPr>
                <w:rFonts w:hint="eastAsia" w:ascii="仿宋_GB2312" w:hAnsi="仿宋_GB2312" w:eastAsia="仿宋_GB2312" w:cs="仿宋_GB2312"/>
                <w:b w:val="0"/>
                <w:bCs w:val="0"/>
                <w:sz w:val="22"/>
                <w:szCs w:val="22"/>
              </w:rPr>
              <w:t>实施农业物种资源普查与保护、外来入侵物种普查监测和防控等项目。</w:t>
            </w:r>
          </w:p>
        </w:tc>
      </w:tr>
    </w:tbl>
    <w:p>
      <w:pPr>
        <w:pStyle w:val="32"/>
        <w:ind w:left="0" w:leftChars="0" w:firstLine="0" w:firstLineChars="0"/>
        <w:jc w:val="center"/>
        <w:rPr>
          <w:rFonts w:hint="eastAsia" w:ascii="黑体" w:hAnsi="黑体" w:eastAsia="黑体" w:cs="黑体"/>
          <w:sz w:val="32"/>
          <w:szCs w:val="32"/>
        </w:rPr>
      </w:pPr>
      <w:bookmarkStart w:id="130" w:name="_Toc47634571"/>
      <w:bookmarkStart w:id="131" w:name="_Toc10203437"/>
      <w:bookmarkStart w:id="132" w:name="_Toc3298"/>
      <w:bookmarkStart w:id="133" w:name="_Toc17677"/>
      <w:bookmarkStart w:id="134" w:name="_Toc64884473"/>
      <w:bookmarkStart w:id="135" w:name="_Toc966"/>
      <w:bookmarkStart w:id="136" w:name="_Toc21892"/>
      <w:bookmarkStart w:id="137" w:name="_Toc15113"/>
      <w:bookmarkStart w:id="138" w:name="_Toc12138"/>
      <w:r>
        <w:rPr>
          <w:rFonts w:hint="eastAsia" w:ascii="黑体" w:hAnsi="黑体" w:eastAsia="黑体" w:cs="黑体"/>
          <w:sz w:val="32"/>
          <w:szCs w:val="32"/>
        </w:rPr>
        <w:t xml:space="preserve">第四章 </w:t>
      </w:r>
      <w:bookmarkEnd w:id="130"/>
      <w:bookmarkEnd w:id="131"/>
      <w:bookmarkStart w:id="139" w:name="_Toc10203438"/>
      <w:r>
        <w:rPr>
          <w:rFonts w:hint="eastAsia" w:ascii="黑体" w:hAnsi="黑体" w:eastAsia="黑体" w:cs="黑体"/>
          <w:sz w:val="32"/>
          <w:szCs w:val="32"/>
        </w:rPr>
        <w:t>推进农业</w:t>
      </w:r>
      <w:bookmarkEnd w:id="132"/>
      <w:bookmarkEnd w:id="133"/>
      <w:bookmarkEnd w:id="134"/>
      <w:bookmarkEnd w:id="135"/>
      <w:bookmarkEnd w:id="136"/>
      <w:bookmarkEnd w:id="137"/>
      <w:r>
        <w:rPr>
          <w:rFonts w:hint="eastAsia" w:ascii="黑体" w:hAnsi="黑体" w:eastAsia="黑体" w:cs="黑体"/>
          <w:sz w:val="32"/>
          <w:szCs w:val="32"/>
        </w:rPr>
        <w:t>面源污染防控</w:t>
      </w:r>
      <w:bookmarkEnd w:id="138"/>
    </w:p>
    <w:bookmarkEnd w:id="139"/>
    <w:p>
      <w:pPr>
        <w:pStyle w:val="32"/>
        <w:ind w:left="0" w:leftChars="0" w:firstLine="0" w:firstLineChars="0"/>
        <w:jc w:val="center"/>
        <w:rPr>
          <w:rFonts w:hint="eastAsia" w:ascii="楷体_GB2312" w:hAnsi="楷体_GB2312" w:eastAsia="楷体_GB2312" w:cs="楷体_GB2312"/>
          <w:b/>
          <w:bCs/>
          <w:sz w:val="32"/>
          <w:szCs w:val="32"/>
        </w:rPr>
      </w:pPr>
      <w:bookmarkStart w:id="140" w:name="_Toc10203439"/>
      <w:bookmarkStart w:id="141" w:name="_Toc23988"/>
      <w:bookmarkStart w:id="142" w:name="_Toc24745"/>
      <w:bookmarkStart w:id="143" w:name="_Toc47634573"/>
      <w:bookmarkStart w:id="144" w:name="_Toc16985"/>
      <w:bookmarkStart w:id="145" w:name="_Toc8159"/>
      <w:bookmarkStart w:id="146" w:name="_Toc32592"/>
      <w:bookmarkStart w:id="147" w:name="_Toc28253"/>
      <w:r>
        <w:rPr>
          <w:rFonts w:hint="eastAsia" w:ascii="楷体_GB2312" w:hAnsi="楷体_GB2312" w:eastAsia="楷体_GB2312" w:cs="楷体_GB2312"/>
          <w:b/>
          <w:bCs/>
          <w:sz w:val="32"/>
          <w:szCs w:val="32"/>
          <w:lang w:eastAsia="zh-CN"/>
        </w:rPr>
        <w:t>第一节</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科学使用农业投入品</w:t>
      </w:r>
      <w:bookmarkEnd w:id="140"/>
      <w:bookmarkEnd w:id="141"/>
      <w:bookmarkEnd w:id="142"/>
      <w:bookmarkEnd w:id="143"/>
      <w:bookmarkEnd w:id="144"/>
      <w:bookmarkEnd w:id="145"/>
      <w:bookmarkEnd w:id="146"/>
      <w:bookmarkEnd w:id="147"/>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sz w:val="32"/>
          <w:szCs w:val="32"/>
        </w:rPr>
      </w:pPr>
      <w:r>
        <w:rPr>
          <w:rFonts w:hint="eastAsia" w:ascii="仿宋_GB2312" w:hAnsi="仿宋_GB2312" w:eastAsia="仿宋_GB2312" w:cs="仿宋_GB2312"/>
          <w:b w:val="0"/>
          <w:bCs/>
          <w:sz w:val="32"/>
          <w:szCs w:val="32"/>
        </w:rPr>
        <w:t>推进化肥减量增效。</w:t>
      </w:r>
      <w:r>
        <w:rPr>
          <w:rFonts w:hint="eastAsia"/>
          <w:sz w:val="32"/>
          <w:szCs w:val="32"/>
        </w:rPr>
        <w:t>实施化肥减量增效行动，集成测土配方施肥、化肥深施、种肥同播、水肥一体化、叶面施肥等化肥减量增效技术，提升科学施肥水平。以</w:t>
      </w:r>
      <w:r>
        <w:rPr>
          <w:rFonts w:hint="eastAsia"/>
          <w:color w:val="auto"/>
          <w:sz w:val="32"/>
          <w:szCs w:val="32"/>
        </w:rPr>
        <w:t>枸杞、酿酒葡萄、蔬菜</w:t>
      </w:r>
      <w:r>
        <w:rPr>
          <w:rFonts w:hint="eastAsia"/>
          <w:sz w:val="32"/>
          <w:szCs w:val="32"/>
        </w:rPr>
        <w:t>产业为重点，大力推广有机肥替代化肥，引导农户利用畜禽粪便、农作物秸秆就近积造有机肥，鼓励家庭农场、合作社、龙头企业带头集中连片施用有机肥，推广“有机肥+配方肥”“有机肥+水肥一体化”等有机肥替代化肥技术模式，减少化肥用量。推广应用缓（控）释肥、生物肥、水溶肥等高效新型肥料，提高肥料利用率。到2025年，化肥利用率提高到43%以上。</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sz w:val="32"/>
          <w:szCs w:val="32"/>
        </w:rPr>
      </w:pPr>
      <w:r>
        <w:rPr>
          <w:rFonts w:hint="eastAsia" w:ascii="仿宋_GB2312" w:hAnsi="仿宋_GB2312" w:eastAsia="仿宋_GB2312" w:cs="仿宋_GB2312"/>
          <w:b w:val="0"/>
          <w:bCs/>
          <w:sz w:val="32"/>
          <w:szCs w:val="32"/>
        </w:rPr>
        <w:t>推进农药减量增效。</w:t>
      </w:r>
      <w:r>
        <w:rPr>
          <w:rFonts w:hint="eastAsia"/>
          <w:sz w:val="32"/>
          <w:szCs w:val="32"/>
        </w:rPr>
        <w:t>实施农药减量增效行动。推进专业化统防统治，扶持发展专业化社会化统防统治服务组织，引进推广新型植保机械，提升施药器械装备水平，提高农药利用率。大力推广绿色防控技术，在蔬菜、果树等经济作物上建立绿色防控示范区，推广“性诱、色诱、灯诱”及生物农药等生物、物理防治技术。推广高效低毒低残留农药和生物农药，减少用药次数和用药量。建立完善农作物病虫害监测预警体系，充分利用物联网、人工智能等信息技术建设一批智能化、数字化田间监测网点，提高重大病虫害预报准确率，推广适期用药、按标用药、靶向用药等精准施药、科学施药技术，减少不合理用药。到2025年，农药利用率提高到43%以上。</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sz w:val="32"/>
          <w:szCs w:val="32"/>
        </w:rPr>
      </w:pPr>
      <w:r>
        <w:rPr>
          <w:rFonts w:hint="eastAsia" w:ascii="仿宋_GB2312" w:hAnsi="仿宋_GB2312" w:eastAsia="仿宋_GB2312" w:cs="仿宋_GB2312"/>
          <w:b w:val="0"/>
          <w:bCs/>
          <w:sz w:val="32"/>
          <w:szCs w:val="32"/>
        </w:rPr>
        <w:t>推进兽药鱼药规范使用。</w:t>
      </w:r>
      <w:r>
        <w:rPr>
          <w:rFonts w:hint="eastAsia"/>
          <w:sz w:val="32"/>
          <w:szCs w:val="32"/>
        </w:rPr>
        <w:t>以奶牛、肉牛、滩羊、生猪、水产品等为重点，规范限量使用饲料添加剂，加强规模养殖场用药档案记录管理，规范兽药鱼药使用。支持微生物酶制剂、植物提取物等添加剂产品研发和应用，促进药物添加剂减量使用。实施兽用抗菌药物使用减量化示范创建行动，总结推广一批兽用抗菌药使用减量化模式。到2025年，兽药鱼药抽检合格率保持在98%以上。</w:t>
      </w:r>
    </w:p>
    <w:p>
      <w:pPr>
        <w:pStyle w:val="4"/>
        <w:keepNext/>
        <w:keepLines/>
        <w:pageBreakBefore w:val="0"/>
        <w:widowControl w:val="0"/>
        <w:kinsoku/>
        <w:wordWrap/>
        <w:overflowPunct/>
        <w:topLinePunct w:val="0"/>
        <w:autoSpaceDE/>
        <w:autoSpaceDN/>
        <w:bidi w:val="0"/>
        <w:adjustRightInd/>
        <w:snapToGrid/>
        <w:spacing w:before="260" w:after="260" w:line="240" w:lineRule="auto"/>
        <w:ind w:left="0" w:leftChars="0" w:right="0" w:rightChars="0" w:firstLine="0" w:firstLineChars="0"/>
        <w:jc w:val="center"/>
        <w:textAlignment w:val="auto"/>
        <w:outlineLvl w:val="1"/>
        <w:rPr>
          <w:rFonts w:hint="eastAsia" w:ascii="楷体_GB2312" w:hAnsi="楷体_GB2312" w:eastAsia="楷体_GB2312" w:cs="楷体_GB2312"/>
          <w:b/>
          <w:bCs/>
          <w:sz w:val="32"/>
          <w:szCs w:val="32"/>
        </w:rPr>
      </w:pPr>
      <w:bookmarkStart w:id="148" w:name="_Toc15979"/>
      <w:bookmarkStart w:id="149" w:name="_Toc24470"/>
      <w:bookmarkStart w:id="150" w:name="_Toc5095"/>
      <w:bookmarkStart w:id="151" w:name="_Toc9161"/>
      <w:bookmarkStart w:id="152" w:name="_Toc10203440"/>
      <w:bookmarkStart w:id="153" w:name="_Toc31990"/>
      <w:bookmarkStart w:id="154" w:name="_Toc47634574"/>
      <w:bookmarkStart w:id="155" w:name="_Toc19128"/>
      <w:r>
        <w:rPr>
          <w:rFonts w:hint="eastAsia" w:ascii="楷体_GB2312" w:hAnsi="楷体_GB2312" w:eastAsia="楷体_GB2312" w:cs="楷体_GB2312"/>
          <w:b/>
          <w:bCs/>
          <w:sz w:val="32"/>
          <w:szCs w:val="32"/>
          <w:lang w:eastAsia="zh-CN"/>
        </w:rPr>
        <w:t>第二节</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实施农业废弃物资源化利用</w:t>
      </w:r>
      <w:bookmarkEnd w:id="148"/>
      <w:bookmarkEnd w:id="149"/>
      <w:bookmarkEnd w:id="150"/>
      <w:bookmarkEnd w:id="151"/>
      <w:bookmarkEnd w:id="152"/>
      <w:bookmarkEnd w:id="153"/>
      <w:bookmarkEnd w:id="154"/>
      <w:bookmarkEnd w:id="155"/>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sz w:val="32"/>
          <w:szCs w:val="32"/>
        </w:rPr>
      </w:pPr>
      <w:r>
        <w:rPr>
          <w:rFonts w:hint="eastAsia" w:ascii="仿宋_GB2312" w:hAnsi="仿宋_GB2312" w:eastAsia="仿宋_GB2312" w:cs="仿宋_GB2312"/>
          <w:b w:val="0"/>
          <w:bCs/>
          <w:sz w:val="32"/>
          <w:szCs w:val="32"/>
        </w:rPr>
        <w:t>推进畜禽粪污资源化利用。</w:t>
      </w:r>
      <w:r>
        <w:rPr>
          <w:rFonts w:hint="eastAsia"/>
          <w:sz w:val="32"/>
          <w:szCs w:val="32"/>
        </w:rPr>
        <w:t>建立健全农业废弃物资源化利用制度，强化地方政府属地管理责任和规模养殖经营企业主体责任，支持养殖大县整县推进畜禽粪污资源化利用，推动形成畜禽粪污资源化利用可持续运行机制。加强畜禽粪污资源化利用能力建设，引导</w:t>
      </w:r>
      <w:r>
        <w:rPr>
          <w:rFonts w:hint="eastAsia"/>
          <w:sz w:val="32"/>
          <w:szCs w:val="32"/>
          <w:lang w:eastAsia="zh-CN"/>
        </w:rPr>
        <w:t>新建</w:t>
      </w:r>
      <w:r>
        <w:rPr>
          <w:rFonts w:hint="eastAsia"/>
          <w:sz w:val="32"/>
          <w:szCs w:val="32"/>
        </w:rPr>
        <w:t>规模养殖场配套完善粪污储存、处理、利用设施，支持在养殖集中区建设畜禽粪污统一收</w:t>
      </w:r>
      <w:r>
        <w:rPr>
          <w:rFonts w:hint="eastAsia"/>
          <w:sz w:val="32"/>
          <w:szCs w:val="32"/>
          <w:lang w:eastAsia="zh-CN"/>
        </w:rPr>
        <w:t>贮</w:t>
      </w:r>
      <w:r>
        <w:rPr>
          <w:rFonts w:hint="eastAsia"/>
          <w:sz w:val="32"/>
          <w:szCs w:val="32"/>
        </w:rPr>
        <w:t>中心、有机肥加工配送中心，强化畜禽粪污资源化利用。推进绿色种养循环，围绕奶牛、肉牛、滩羊养殖，</w:t>
      </w:r>
      <w:r>
        <w:rPr>
          <w:rFonts w:hint="eastAsia"/>
          <w:sz w:val="32"/>
          <w:szCs w:val="32"/>
          <w:lang w:eastAsia="zh-CN"/>
        </w:rPr>
        <w:t>探索</w:t>
      </w:r>
      <w:r>
        <w:rPr>
          <w:rFonts w:hint="eastAsia"/>
          <w:sz w:val="32"/>
          <w:szCs w:val="32"/>
        </w:rPr>
        <w:t>畜禽粪污循环利用模式，加快培育产业链融合共生、资源能源高效利用的绿色低碳循环产业体系，形成一批种养结合、生态循环的典型。</w:t>
      </w:r>
      <w:r>
        <w:rPr>
          <w:rFonts w:hint="eastAsia"/>
          <w:sz w:val="32"/>
          <w:szCs w:val="32"/>
          <w:lang w:eastAsia="zh-CN"/>
        </w:rPr>
        <w:t>加强畜禽粪污资源化利用计划和台账管理</w:t>
      </w:r>
      <w:r>
        <w:rPr>
          <w:rFonts w:hint="eastAsia"/>
          <w:sz w:val="32"/>
          <w:szCs w:val="32"/>
        </w:rPr>
        <w:t>。到2025年，畜禽粪污综合利用率保持在90%以上。</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eastAsia="宋体"/>
          <w:sz w:val="32"/>
          <w:szCs w:val="32"/>
        </w:rPr>
      </w:pPr>
      <w:r>
        <w:rPr>
          <w:rFonts w:hint="eastAsia" w:ascii="仿宋_GB2312" w:hAnsi="仿宋_GB2312" w:eastAsia="仿宋_GB2312" w:cs="仿宋_GB2312"/>
          <w:b w:val="0"/>
          <w:bCs/>
          <w:sz w:val="32"/>
          <w:szCs w:val="32"/>
        </w:rPr>
        <w:t>推进农作物秸秆综合利用。</w:t>
      </w:r>
      <w:r>
        <w:rPr>
          <w:rFonts w:hint="eastAsia"/>
          <w:b w:val="0"/>
          <w:bCs/>
          <w:sz w:val="32"/>
          <w:szCs w:val="32"/>
        </w:rPr>
        <w:t>推进农作物秸秆肥料化利用</w:t>
      </w:r>
      <w:r>
        <w:rPr>
          <w:rFonts w:hint="eastAsia"/>
          <w:b w:val="0"/>
          <w:bCs/>
          <w:sz w:val="32"/>
          <w:szCs w:val="32"/>
          <w:lang w:val="en-US" w:eastAsia="zh-CN"/>
        </w:rPr>
        <w:t>，</w:t>
      </w:r>
      <w:r>
        <w:rPr>
          <w:rFonts w:hint="eastAsia"/>
          <w:sz w:val="32"/>
          <w:szCs w:val="32"/>
        </w:rPr>
        <w:t>大力推广秸秆粉碎还田、秸秆腐熟还田、秸秆生产有机肥等实用技术，改造提升秸秆机械化深翻还田装备，引黄灌区全面落实水稻、玉米秸秆机械深翻还田。</w:t>
      </w:r>
      <w:r>
        <w:rPr>
          <w:rFonts w:hint="eastAsia"/>
          <w:b w:val="0"/>
          <w:bCs/>
          <w:sz w:val="32"/>
          <w:szCs w:val="32"/>
        </w:rPr>
        <w:t>推进农作物秸秆饲料化利用，</w:t>
      </w:r>
      <w:r>
        <w:rPr>
          <w:rFonts w:hint="eastAsia"/>
          <w:sz w:val="32"/>
          <w:szCs w:val="32"/>
        </w:rPr>
        <w:t>鼓励企业利用青贮、黄贮秸秆发展养殖，引导各类农业社会化服务组织完善秸秆收储运体系，推广秸秆捡拾压块打捆作业机械，提高秸秆回收利用率。到2025年，全区秸秆综合利用率达到90%以上。</w:t>
      </w:r>
    </w:p>
    <w:p>
      <w:pPr>
        <w:pStyle w:val="4"/>
        <w:keepNext/>
        <w:keepLines/>
        <w:pageBreakBefore w:val="0"/>
        <w:widowControl w:val="0"/>
        <w:kinsoku/>
        <w:wordWrap/>
        <w:overflowPunct/>
        <w:topLinePunct w:val="0"/>
        <w:autoSpaceDE/>
        <w:autoSpaceDN/>
        <w:bidi w:val="0"/>
        <w:adjustRightInd/>
        <w:snapToGrid/>
        <w:spacing w:before="260" w:after="260" w:line="240" w:lineRule="auto"/>
        <w:ind w:left="0" w:leftChars="0" w:right="0" w:rightChars="0" w:firstLine="0" w:firstLineChars="0"/>
        <w:jc w:val="center"/>
        <w:textAlignment w:val="auto"/>
        <w:outlineLvl w:val="1"/>
        <w:rPr>
          <w:rFonts w:hint="eastAsia" w:ascii="楷体_GB2312" w:hAnsi="楷体_GB2312" w:eastAsia="楷体_GB2312" w:cs="楷体_GB2312"/>
          <w:sz w:val="32"/>
          <w:szCs w:val="32"/>
        </w:rPr>
      </w:pPr>
      <w:bookmarkStart w:id="156" w:name="_Toc22529"/>
      <w:r>
        <w:rPr>
          <w:rFonts w:hint="eastAsia" w:ascii="楷体_GB2312" w:hAnsi="楷体_GB2312" w:eastAsia="楷体_GB2312" w:cs="楷体_GB2312"/>
          <w:sz w:val="32"/>
          <w:szCs w:val="32"/>
          <w:lang w:eastAsia="zh-CN"/>
        </w:rPr>
        <w:t>第三节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加强白色污染治理</w:t>
      </w:r>
      <w:bookmarkEnd w:id="156"/>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sz w:val="32"/>
          <w:szCs w:val="32"/>
        </w:rPr>
      </w:pPr>
      <w:r>
        <w:rPr>
          <w:rFonts w:hint="eastAsia" w:ascii="仿宋_GB2312" w:hAnsi="仿宋_GB2312" w:eastAsia="仿宋_GB2312" w:cs="仿宋_GB2312"/>
          <w:b w:val="0"/>
          <w:bCs/>
          <w:sz w:val="32"/>
          <w:szCs w:val="32"/>
        </w:rPr>
        <w:t>推进农膜回收利用。</w:t>
      </w:r>
      <w:r>
        <w:rPr>
          <w:rFonts w:hint="eastAsia"/>
          <w:sz w:val="32"/>
          <w:szCs w:val="32"/>
        </w:rPr>
        <w:t>加强农膜生产使用回收全环节管理，强化市场监管，禁止企业生产、采购、销售不符合国家强制性标准地膜，全面推广使用0.01毫米以上标准地膜</w:t>
      </w:r>
      <w:r>
        <w:rPr>
          <w:rFonts w:hint="eastAsia"/>
          <w:sz w:val="32"/>
          <w:szCs w:val="32"/>
          <w:lang w:eastAsia="zh-CN"/>
        </w:rPr>
        <w:t>。</w:t>
      </w:r>
      <w:r>
        <w:rPr>
          <w:rFonts w:hint="eastAsia"/>
          <w:sz w:val="32"/>
          <w:szCs w:val="32"/>
        </w:rPr>
        <w:t>开展地膜覆盖技术适宜性评估，因地制宜压减地膜覆盖面积，积极推广环境友好</w:t>
      </w:r>
      <w:r>
        <w:rPr>
          <w:rFonts w:hint="eastAsia"/>
          <w:sz w:val="32"/>
          <w:szCs w:val="32"/>
          <w:lang w:eastAsia="zh-CN"/>
        </w:rPr>
        <w:t>型全</w:t>
      </w:r>
      <w:r>
        <w:rPr>
          <w:rFonts w:hint="eastAsia"/>
          <w:sz w:val="32"/>
          <w:szCs w:val="32"/>
        </w:rPr>
        <w:t>生物降解</w:t>
      </w:r>
      <w:r>
        <w:rPr>
          <w:rFonts w:hint="eastAsia"/>
          <w:sz w:val="32"/>
          <w:szCs w:val="32"/>
          <w:lang w:eastAsia="zh-CN"/>
        </w:rPr>
        <w:t>地</w:t>
      </w:r>
      <w:r>
        <w:rPr>
          <w:rFonts w:hint="eastAsia"/>
          <w:sz w:val="32"/>
          <w:szCs w:val="32"/>
        </w:rPr>
        <w:t>膜。建立健全地膜回收利用机制，坚持政府扶持、市场主导的农膜回收和资源化利用体系，中南部山区实行整县推进农膜回收，加强引黄灌区农膜回收，探索农膜回收补贴机制，引导农业社会化服务组织建设农膜回收加工网点，推进残膜加工再利用，积极采取“以旧换新”、经营主体上交、专业化组织回收等方式，提高残膜回收率。推广残膜</w:t>
      </w:r>
      <w:r>
        <w:rPr>
          <w:rFonts w:hint="eastAsia"/>
          <w:sz w:val="32"/>
          <w:szCs w:val="32"/>
          <w:lang w:eastAsia="zh-CN"/>
        </w:rPr>
        <w:t>机械</w:t>
      </w:r>
      <w:r>
        <w:rPr>
          <w:rFonts w:hint="eastAsia"/>
          <w:sz w:val="32"/>
          <w:szCs w:val="32"/>
        </w:rPr>
        <w:t>回收技术，加大农膜回收捡拾机具、全生物降解地膜产品等关键技术和设备研发、推广力度。建立健全农田地膜残留监测点，开展常态化、制度化监测评估。到2025年，农用残膜回收率达到90%以上。</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sz w:val="32"/>
          <w:szCs w:val="32"/>
        </w:rPr>
      </w:pPr>
      <w:r>
        <w:rPr>
          <w:rFonts w:hint="eastAsia" w:ascii="仿宋_GB2312" w:hAnsi="仿宋_GB2312" w:eastAsia="仿宋_GB2312" w:cs="仿宋_GB2312"/>
          <w:b w:val="0"/>
          <w:bCs/>
          <w:sz w:val="32"/>
          <w:szCs w:val="32"/>
        </w:rPr>
        <w:t>推进包装废弃物回收处理。</w:t>
      </w:r>
      <w:r>
        <w:rPr>
          <w:rFonts w:hint="eastAsia"/>
          <w:sz w:val="32"/>
          <w:szCs w:val="32"/>
        </w:rPr>
        <w:t>严格落实《</w:t>
      </w:r>
      <w:r>
        <w:rPr>
          <w:sz w:val="32"/>
          <w:szCs w:val="32"/>
        </w:rPr>
        <w:t>农药包装废弃物回收处理管理办法》</w:t>
      </w:r>
      <w:r>
        <w:rPr>
          <w:rFonts w:hint="eastAsia"/>
          <w:sz w:val="32"/>
          <w:szCs w:val="32"/>
        </w:rPr>
        <w:t>，按照“谁生产、经营，谁回收”的原则，建立“政府主导、农药经营者主体、广大农户参与”的农药包装废弃物回收机制，扶持农业社会化服务组织、农药经营店建立农药包装废弃物收购和处置点，提高农药兽药包装废弃物的回收处理率，推进农药包装废弃物无害化处置。合理处理肥料包装废弃物，全面实施肥料包装废弃物再利用，促进包装废弃物减量。到2025年，农药包装物回收率达到85%。</w:t>
      </w:r>
      <w:bookmarkStart w:id="157" w:name="_Toc10203441"/>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both"/>
        <w:textAlignment w:val="auto"/>
        <w:outlineLvl w:val="9"/>
        <w:rPr>
          <w:rFonts w:hint="eastAsia"/>
          <w:sz w:val="32"/>
          <w:szCs w:val="32"/>
        </w:rPr>
      </w:pPr>
    </w:p>
    <w:tbl>
      <w:tblPr>
        <w:tblStyle w:val="16"/>
        <w:tblW w:w="88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8800" w:type="dxa"/>
            <w:vAlign w:val="center"/>
          </w:tcPr>
          <w:p>
            <w:pPr>
              <w:widowControl/>
              <w:spacing w:line="340" w:lineRule="exact"/>
              <w:jc w:val="center"/>
              <w:rPr>
                <w:szCs w:val="21"/>
              </w:rPr>
            </w:pPr>
            <w:r>
              <w:rPr>
                <w:rFonts w:hint="eastAsia" w:ascii="黑体" w:hAnsi="黑体" w:eastAsia="黑体" w:cs="黑体"/>
                <w:b w:val="0"/>
                <w:bCs w:val="0"/>
                <w:kern w:val="0"/>
                <w:sz w:val="22"/>
                <w:szCs w:val="22"/>
              </w:rPr>
              <w:t>专栏</w:t>
            </w:r>
            <w:r>
              <w:rPr>
                <w:rFonts w:hint="eastAsia" w:ascii="黑体" w:hAnsi="黑体" w:eastAsia="黑体" w:cs="黑体"/>
                <w:b w:val="0"/>
                <w:bCs w:val="0"/>
                <w:kern w:val="0"/>
                <w:sz w:val="22"/>
                <w:szCs w:val="22"/>
                <w:lang w:val="en-US" w:eastAsia="zh-CN"/>
              </w:rPr>
              <w:t xml:space="preserve">2 </w:t>
            </w:r>
            <w:r>
              <w:rPr>
                <w:rFonts w:hint="eastAsia" w:ascii="黑体" w:hAnsi="黑体" w:eastAsia="黑体" w:cs="黑体"/>
                <w:b w:val="0"/>
                <w:bCs w:val="0"/>
                <w:kern w:val="0"/>
                <w:sz w:val="22"/>
                <w:szCs w:val="22"/>
              </w:rPr>
              <w:t>农业面源污染防控工程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6" w:hRule="atLeast"/>
        </w:trPr>
        <w:tc>
          <w:tcPr>
            <w:tcW w:w="8800" w:type="dxa"/>
          </w:tcPr>
          <w:p>
            <w:pPr>
              <w:pStyle w:val="14"/>
              <w:keepNext w:val="0"/>
              <w:keepLines w:val="0"/>
              <w:pageBreakBefore w:val="0"/>
              <w:widowControl w:val="0"/>
              <w:kinsoku/>
              <w:wordWrap/>
              <w:overflowPunct/>
              <w:topLinePunct w:val="0"/>
              <w:autoSpaceDE/>
              <w:autoSpaceDN/>
              <w:bidi w:val="0"/>
              <w:adjustRightInd/>
              <w:snapToGrid/>
              <w:spacing w:after="0" w:line="240" w:lineRule="exact"/>
              <w:ind w:left="0" w:leftChars="0" w:firstLine="0" w:firstLineChars="0"/>
              <w:jc w:val="left"/>
              <w:textAlignment w:val="auto"/>
              <w:outlineLvl w:val="9"/>
              <w:rPr>
                <w:rFonts w:hint="eastAsia" w:ascii="仿宋_GB2312" w:hAnsi="仿宋_GB2312" w:eastAsia="仿宋_GB2312" w:cs="仿宋_GB2312"/>
                <w:b/>
                <w:bCs/>
              </w:rPr>
            </w:pPr>
          </w:p>
          <w:p>
            <w:pPr>
              <w:pStyle w:val="14"/>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jc w:val="left"/>
              <w:textAlignment w:val="auto"/>
              <w:outlineLvl w:val="9"/>
              <w:rPr>
                <w:rFonts w:hint="eastAsia" w:ascii="仿宋_GB2312" w:hAnsi="仿宋_GB2312" w:eastAsia="仿宋_GB2312" w:cs="仿宋_GB2312"/>
                <w:sz w:val="22"/>
                <w:szCs w:val="28"/>
              </w:rPr>
            </w:pPr>
            <w:r>
              <w:rPr>
                <w:rFonts w:hint="eastAsia" w:ascii="楷体_GB2312" w:hAnsi="楷体_GB2312" w:eastAsia="楷体_GB2312" w:cs="楷体_GB2312"/>
                <w:b/>
                <w:bCs/>
                <w:color w:val="auto"/>
                <w:kern w:val="2"/>
                <w:sz w:val="22"/>
                <w:szCs w:val="22"/>
                <w:lang w:val="en-US" w:eastAsia="zh-CN" w:bidi="ar-SA"/>
              </w:rPr>
              <w:t>1.化肥农药减量增效。</w:t>
            </w:r>
            <w:r>
              <w:rPr>
                <w:rFonts w:hint="eastAsia" w:ascii="仿宋_GB2312" w:hAnsi="仿宋_GB2312" w:eastAsia="仿宋_GB2312" w:cs="仿宋_GB2312"/>
                <w:b w:val="0"/>
                <w:bCs/>
                <w:sz w:val="22"/>
                <w:szCs w:val="28"/>
              </w:rPr>
              <w:t>实施化肥减量增效、有机肥替代化肥示范和测土配方施肥示范，每年</w:t>
            </w:r>
            <w:r>
              <w:rPr>
                <w:rFonts w:hint="eastAsia" w:ascii="仿宋_GB2312" w:hAnsi="仿宋_GB2312" w:eastAsia="仿宋_GB2312" w:cs="仿宋_GB2312"/>
                <w:b w:val="0"/>
                <w:bCs/>
                <w:sz w:val="22"/>
                <w:szCs w:val="28"/>
                <w:lang w:eastAsia="zh-CN"/>
              </w:rPr>
              <w:t>创建一批</w:t>
            </w:r>
            <w:r>
              <w:rPr>
                <w:rFonts w:hint="eastAsia" w:ascii="仿宋_GB2312" w:hAnsi="仿宋_GB2312" w:eastAsia="仿宋_GB2312" w:cs="仿宋_GB2312"/>
                <w:b w:val="0"/>
                <w:bCs/>
                <w:sz w:val="22"/>
                <w:szCs w:val="28"/>
              </w:rPr>
              <w:t>化肥农药减量增效示范县，推广精准施肥、水肥一体化、有机肥替代化肥等化肥减量增效综合技术</w:t>
            </w:r>
            <w:r>
              <w:rPr>
                <w:rFonts w:hint="eastAsia" w:ascii="Times New Roman" w:hAnsi="Times New Roman" w:eastAsia="仿宋_GB2312" w:cs="Times New Roman"/>
                <w:b w:val="0"/>
                <w:kern w:val="2"/>
                <w:sz w:val="22"/>
                <w:szCs w:val="22"/>
                <w:lang w:val="en-US" w:eastAsia="zh-CN" w:bidi="ar-SA"/>
              </w:rPr>
              <w:t>1000</w:t>
            </w:r>
            <w:r>
              <w:rPr>
                <w:rFonts w:hint="eastAsia" w:ascii="仿宋_GB2312" w:hAnsi="仿宋_GB2312" w:eastAsia="仿宋_GB2312" w:cs="仿宋_GB2312"/>
                <w:b w:val="0"/>
                <w:bCs/>
                <w:sz w:val="22"/>
                <w:szCs w:val="28"/>
              </w:rPr>
              <w:t>万亩。</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left"/>
              <w:textAlignment w:val="auto"/>
              <w:outlineLvl w:val="9"/>
              <w:rPr>
                <w:rFonts w:hint="eastAsia" w:ascii="仿宋_GB2312" w:hAnsi="仿宋_GB2312" w:eastAsia="仿宋_GB2312" w:cs="仿宋_GB2312"/>
                <w:sz w:val="22"/>
                <w:szCs w:val="24"/>
              </w:rPr>
            </w:pPr>
            <w:r>
              <w:rPr>
                <w:rFonts w:hint="eastAsia" w:ascii="楷体_GB2312" w:hAnsi="楷体_GB2312" w:eastAsia="楷体_GB2312" w:cs="楷体_GB2312"/>
                <w:b/>
                <w:bCs/>
                <w:color w:val="auto"/>
                <w:sz w:val="22"/>
                <w:szCs w:val="22"/>
                <w:lang w:val="en-US" w:eastAsia="zh-CN"/>
              </w:rPr>
              <w:t>2.农作物病虫害防治。</w:t>
            </w:r>
            <w:r>
              <w:rPr>
                <w:rFonts w:hint="eastAsia" w:ascii="仿宋_GB2312" w:hAnsi="仿宋_GB2312" w:eastAsia="仿宋_GB2312" w:cs="仿宋_GB2312"/>
                <w:sz w:val="22"/>
                <w:szCs w:val="24"/>
              </w:rPr>
              <w:t>开展农作物病虫害防控，强化农药等农业投入品监管，实施农药减量增效,开展高效低毒低残留农药和生物农药推广应用，实施统防统治和绿色防控技术覆盖面积</w:t>
            </w:r>
            <w:r>
              <w:rPr>
                <w:rFonts w:hint="eastAsia" w:ascii="Times New Roman" w:hAnsi="Times New Roman" w:eastAsia="仿宋_GB2312" w:cs="Times New Roman"/>
                <w:sz w:val="22"/>
                <w:szCs w:val="22"/>
              </w:rPr>
              <w:t>680</w:t>
            </w:r>
            <w:r>
              <w:rPr>
                <w:rFonts w:hint="eastAsia" w:ascii="仿宋_GB2312" w:hAnsi="仿宋_GB2312" w:eastAsia="仿宋_GB2312" w:cs="仿宋_GB2312"/>
                <w:sz w:val="22"/>
                <w:szCs w:val="24"/>
              </w:rPr>
              <w:t>万亩。</w:t>
            </w:r>
          </w:p>
          <w:p>
            <w:pPr>
              <w:pStyle w:val="14"/>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textAlignment w:val="auto"/>
              <w:outlineLvl w:val="9"/>
              <w:rPr>
                <w:rFonts w:hint="eastAsia" w:ascii="仿宋_GB2312" w:hAnsi="仿宋_GB2312" w:eastAsia="仿宋_GB2312" w:cs="仿宋_GB2312"/>
                <w:sz w:val="22"/>
                <w:szCs w:val="28"/>
              </w:rPr>
            </w:pPr>
            <w:r>
              <w:rPr>
                <w:rFonts w:hint="eastAsia" w:ascii="楷体_GB2312" w:hAnsi="楷体_GB2312" w:eastAsia="楷体_GB2312" w:cs="楷体_GB2312"/>
                <w:b/>
                <w:bCs/>
                <w:color w:val="auto"/>
                <w:kern w:val="2"/>
                <w:sz w:val="22"/>
                <w:szCs w:val="22"/>
                <w:lang w:val="en-US" w:eastAsia="zh-CN" w:bidi="ar-SA"/>
              </w:rPr>
              <w:t>3.绿色种养循环农业试点。</w:t>
            </w:r>
            <w:r>
              <w:rPr>
                <w:rFonts w:hint="eastAsia" w:ascii="仿宋_GB2312" w:hAnsi="仿宋_GB2312" w:eastAsia="仿宋_GB2312" w:cs="仿宋_GB2312"/>
                <w:b w:val="0"/>
                <w:bCs/>
                <w:sz w:val="22"/>
                <w:szCs w:val="28"/>
              </w:rPr>
              <w:t>支持奶牛</w:t>
            </w:r>
            <w:r>
              <w:rPr>
                <w:rFonts w:hint="eastAsia" w:ascii="仿宋_GB2312" w:hAnsi="仿宋_GB2312" w:eastAsia="仿宋_GB2312" w:cs="仿宋_GB2312"/>
                <w:b w:val="0"/>
                <w:bCs/>
                <w:sz w:val="22"/>
                <w:szCs w:val="28"/>
                <w:lang w:eastAsia="zh-CN"/>
              </w:rPr>
              <w:t>肉牛生猪</w:t>
            </w:r>
            <w:r>
              <w:rPr>
                <w:rFonts w:hint="eastAsia" w:ascii="仿宋_GB2312" w:hAnsi="仿宋_GB2312" w:eastAsia="仿宋_GB2312" w:cs="仿宋_GB2312"/>
                <w:b w:val="0"/>
                <w:bCs/>
                <w:sz w:val="22"/>
                <w:szCs w:val="28"/>
              </w:rPr>
              <w:t>养殖大县、粮食和蔬菜主产区等重点区域，整县开展粪肥就地消纳、就近还田补奖试点，构建粪肥还田组织运行模式。</w:t>
            </w:r>
          </w:p>
          <w:p>
            <w:pPr>
              <w:pStyle w:val="14"/>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textAlignment w:val="auto"/>
              <w:outlineLvl w:val="9"/>
              <w:rPr>
                <w:rFonts w:hint="eastAsia" w:ascii="仿宋_GB2312" w:hAnsi="仿宋_GB2312" w:eastAsia="仿宋_GB2312" w:cs="仿宋_GB2312"/>
                <w:b w:val="0"/>
                <w:bCs/>
                <w:sz w:val="22"/>
                <w:szCs w:val="28"/>
              </w:rPr>
            </w:pPr>
            <w:r>
              <w:rPr>
                <w:rFonts w:hint="eastAsia" w:ascii="楷体_GB2312" w:hAnsi="楷体_GB2312" w:eastAsia="楷体_GB2312" w:cs="楷体_GB2312"/>
                <w:b/>
                <w:bCs/>
                <w:color w:val="auto"/>
                <w:kern w:val="2"/>
                <w:sz w:val="22"/>
                <w:szCs w:val="22"/>
                <w:lang w:val="en-US" w:eastAsia="zh-CN" w:bidi="ar-SA"/>
              </w:rPr>
              <w:t>4.水产健康养殖。</w:t>
            </w:r>
            <w:r>
              <w:rPr>
                <w:rFonts w:hint="eastAsia" w:ascii="仿宋_GB2312" w:hAnsi="仿宋_GB2312" w:eastAsia="仿宋_GB2312" w:cs="仿宋_GB2312"/>
                <w:b w:val="0"/>
                <w:bCs/>
                <w:spacing w:val="0"/>
                <w:sz w:val="22"/>
                <w:szCs w:val="28"/>
                <w:lang w:val="en-US" w:eastAsia="zh-CN"/>
              </w:rPr>
              <w:t>积极创建国家级水产健康养殖和生态养殖示范区</w:t>
            </w:r>
            <w:r>
              <w:rPr>
                <w:rFonts w:hint="eastAsia" w:ascii="仿宋_GB2312" w:hAnsi="仿宋_GB2312" w:eastAsia="仿宋_GB2312" w:cs="仿宋_GB2312"/>
                <w:b w:val="0"/>
                <w:bCs/>
                <w:sz w:val="22"/>
                <w:szCs w:val="28"/>
              </w:rPr>
              <w:t>，集成推广循环水养殖、稻渔综合种养、大水面生态渔业等健康养殖模式。</w:t>
            </w:r>
          </w:p>
          <w:p>
            <w:pPr>
              <w:pStyle w:val="14"/>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textAlignment w:val="auto"/>
              <w:outlineLvl w:val="9"/>
              <w:rPr>
                <w:rFonts w:hint="eastAsia" w:ascii="仿宋_GB2312" w:hAnsi="仿宋_GB2312" w:eastAsia="仿宋_GB2312" w:cs="仿宋_GB2312"/>
                <w:sz w:val="22"/>
                <w:szCs w:val="28"/>
              </w:rPr>
            </w:pPr>
            <w:r>
              <w:rPr>
                <w:rFonts w:hint="eastAsia" w:ascii="楷体_GB2312" w:hAnsi="楷体_GB2312" w:eastAsia="楷体_GB2312" w:cs="楷体_GB2312"/>
                <w:b/>
                <w:bCs/>
                <w:color w:val="auto"/>
                <w:kern w:val="2"/>
                <w:sz w:val="22"/>
                <w:szCs w:val="22"/>
                <w:lang w:val="en-US" w:eastAsia="zh-CN" w:bidi="ar-SA"/>
              </w:rPr>
              <w:t>5.畜禽粪污资源化利用。</w:t>
            </w:r>
            <w:r>
              <w:rPr>
                <w:rFonts w:hint="eastAsia" w:ascii="仿宋_GB2312" w:hAnsi="仿宋_GB2312" w:eastAsia="仿宋_GB2312" w:cs="仿宋_GB2312"/>
                <w:b w:val="0"/>
                <w:bCs/>
                <w:sz w:val="22"/>
                <w:szCs w:val="28"/>
              </w:rPr>
              <w:t>支持规模养殖场（户）、粪污集中处理中心、有机肥生产加工厂配套建设粪污处理利用设施设备。支持奶牛、肉牛、生猪养殖大县整县推进畜禽粪污资源化利用，确保到</w:t>
            </w:r>
            <w:r>
              <w:rPr>
                <w:rFonts w:hint="eastAsia" w:ascii="Times New Roman" w:hAnsi="Times New Roman" w:eastAsia="仿宋_GB2312" w:cs="Times New Roman"/>
                <w:b w:val="0"/>
                <w:kern w:val="2"/>
                <w:sz w:val="22"/>
                <w:szCs w:val="22"/>
                <w:lang w:val="en-US" w:eastAsia="zh-CN" w:bidi="ar-SA"/>
              </w:rPr>
              <w:t>2025</w:t>
            </w:r>
            <w:r>
              <w:rPr>
                <w:rFonts w:hint="eastAsia" w:ascii="仿宋_GB2312" w:hAnsi="仿宋_GB2312" w:eastAsia="仿宋_GB2312" w:cs="仿宋_GB2312"/>
                <w:b w:val="0"/>
                <w:bCs/>
                <w:sz w:val="22"/>
                <w:szCs w:val="28"/>
              </w:rPr>
              <w:t>年全区</w:t>
            </w:r>
            <w:r>
              <w:rPr>
                <w:rFonts w:hint="eastAsia" w:ascii="仿宋_GB2312" w:hAnsi="仿宋_GB2312" w:eastAsia="仿宋_GB2312" w:cs="仿宋_GB2312"/>
                <w:b w:val="0"/>
                <w:bCs/>
                <w:sz w:val="22"/>
                <w:szCs w:val="28"/>
                <w:lang w:eastAsia="zh-CN"/>
              </w:rPr>
              <w:t>畜禽</w:t>
            </w:r>
            <w:r>
              <w:rPr>
                <w:rFonts w:hint="eastAsia" w:ascii="仿宋_GB2312" w:hAnsi="仿宋_GB2312" w:eastAsia="仿宋_GB2312" w:cs="仿宋_GB2312"/>
                <w:b w:val="0"/>
                <w:bCs/>
                <w:sz w:val="22"/>
                <w:szCs w:val="28"/>
              </w:rPr>
              <w:t>粪污</w:t>
            </w:r>
            <w:r>
              <w:rPr>
                <w:rFonts w:hint="eastAsia" w:ascii="仿宋_GB2312" w:hAnsi="仿宋_GB2312" w:eastAsia="仿宋_GB2312" w:cs="仿宋_GB2312"/>
                <w:b w:val="0"/>
                <w:bCs/>
                <w:sz w:val="22"/>
                <w:szCs w:val="28"/>
                <w:lang w:eastAsia="zh-CN"/>
              </w:rPr>
              <w:t>综合</w:t>
            </w:r>
            <w:r>
              <w:rPr>
                <w:rFonts w:hint="eastAsia" w:ascii="仿宋_GB2312" w:hAnsi="仿宋_GB2312" w:eastAsia="仿宋_GB2312" w:cs="仿宋_GB2312"/>
                <w:b w:val="0"/>
                <w:bCs/>
                <w:sz w:val="22"/>
                <w:szCs w:val="28"/>
              </w:rPr>
              <w:t>利用率达到</w:t>
            </w:r>
            <w:r>
              <w:rPr>
                <w:rFonts w:hint="eastAsia" w:ascii="Times New Roman" w:hAnsi="Times New Roman" w:eastAsia="仿宋_GB2312" w:cs="Times New Roman"/>
                <w:b w:val="0"/>
                <w:kern w:val="2"/>
                <w:sz w:val="22"/>
                <w:szCs w:val="22"/>
                <w:lang w:val="en-US" w:eastAsia="zh-CN" w:bidi="ar-SA"/>
              </w:rPr>
              <w:t>90</w:t>
            </w:r>
            <w:r>
              <w:rPr>
                <w:rFonts w:hint="eastAsia" w:ascii="仿宋_GB2312" w:hAnsi="仿宋_GB2312" w:eastAsia="仿宋_GB2312" w:cs="仿宋_GB2312"/>
                <w:b w:val="0"/>
                <w:bCs/>
                <w:sz w:val="22"/>
                <w:szCs w:val="28"/>
              </w:rPr>
              <w:t>%以上。</w:t>
            </w:r>
          </w:p>
          <w:p>
            <w:pPr>
              <w:pStyle w:val="14"/>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textAlignment w:val="auto"/>
              <w:outlineLvl w:val="9"/>
              <w:rPr>
                <w:rFonts w:hint="eastAsia" w:ascii="仿宋_GB2312" w:hAnsi="仿宋_GB2312" w:eastAsia="仿宋_GB2312" w:cs="仿宋_GB2312"/>
                <w:sz w:val="22"/>
                <w:szCs w:val="28"/>
              </w:rPr>
            </w:pPr>
            <w:r>
              <w:rPr>
                <w:rFonts w:hint="eastAsia" w:ascii="楷体_GB2312" w:hAnsi="楷体_GB2312" w:eastAsia="楷体_GB2312" w:cs="楷体_GB2312"/>
                <w:b/>
                <w:bCs/>
                <w:color w:val="auto"/>
                <w:kern w:val="2"/>
                <w:sz w:val="22"/>
                <w:szCs w:val="22"/>
                <w:lang w:val="en-US" w:eastAsia="zh-CN" w:bidi="ar-SA"/>
              </w:rPr>
              <w:t>6.农作物秸秆综合利用。</w:t>
            </w:r>
            <w:r>
              <w:rPr>
                <w:rFonts w:hint="eastAsia" w:ascii="仿宋_GB2312" w:hAnsi="仿宋_GB2312" w:eastAsia="仿宋_GB2312" w:cs="仿宋_GB2312"/>
                <w:b w:val="0"/>
                <w:bCs/>
                <w:sz w:val="22"/>
                <w:szCs w:val="28"/>
              </w:rPr>
              <w:t>支持秸秆大县全域推进秸秆综合利用，支持探索秸秆利用与地力提升补贴政策相挂钩机制。</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2"/>
                <w:szCs w:val="24"/>
              </w:rPr>
            </w:pPr>
            <w:r>
              <w:rPr>
                <w:rFonts w:hint="eastAsia" w:ascii="楷体_GB2312" w:hAnsi="楷体_GB2312" w:eastAsia="楷体_GB2312" w:cs="楷体_GB2312"/>
                <w:b/>
                <w:bCs/>
                <w:color w:val="auto"/>
                <w:sz w:val="22"/>
                <w:szCs w:val="22"/>
                <w:lang w:val="en-US" w:eastAsia="zh-CN"/>
              </w:rPr>
              <w:t>7.农用残膜资源化利用。</w:t>
            </w:r>
            <w:r>
              <w:rPr>
                <w:rFonts w:hint="eastAsia" w:ascii="仿宋_GB2312" w:hAnsi="仿宋_GB2312" w:eastAsia="仿宋_GB2312" w:cs="仿宋_GB2312"/>
                <w:sz w:val="22"/>
                <w:szCs w:val="24"/>
              </w:rPr>
              <w:t>健全完善废旧地膜回收加工体系，推动建立使用者捡拾、经营者及专业化组织回收、生产企业加工利用的回收利用机制，积极示范推广适宜作物全生物可降解地膜，确保到</w:t>
            </w:r>
            <w:r>
              <w:rPr>
                <w:rFonts w:hint="eastAsia" w:ascii="Times New Roman" w:hAnsi="Times New Roman" w:eastAsia="仿宋_GB2312" w:cs="Times New Roman"/>
                <w:sz w:val="22"/>
                <w:szCs w:val="22"/>
              </w:rPr>
              <w:t>2025</w:t>
            </w:r>
            <w:r>
              <w:rPr>
                <w:rFonts w:hint="eastAsia" w:ascii="仿宋_GB2312" w:hAnsi="仿宋_GB2312" w:eastAsia="仿宋_GB2312" w:cs="仿宋_GB2312"/>
                <w:sz w:val="22"/>
                <w:szCs w:val="24"/>
              </w:rPr>
              <w:t>年农用残膜回收率达到</w:t>
            </w:r>
            <w:r>
              <w:rPr>
                <w:rFonts w:hint="eastAsia" w:ascii="Times New Roman" w:hAnsi="Times New Roman" w:eastAsia="仿宋_GB2312" w:cs="Times New Roman"/>
                <w:sz w:val="22"/>
                <w:szCs w:val="22"/>
              </w:rPr>
              <w:t>90</w:t>
            </w:r>
            <w:r>
              <w:rPr>
                <w:rFonts w:hint="eastAsia" w:ascii="仿宋_GB2312" w:hAnsi="仿宋_GB2312" w:eastAsia="仿宋_GB2312" w:cs="仿宋_GB2312"/>
                <w:sz w:val="22"/>
                <w:szCs w:val="24"/>
              </w:rPr>
              <w:t>%以上。</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rPr>
                <w:rFonts w:hint="eastAsia" w:ascii="仿宋_GB2312" w:hAnsi="仿宋_GB2312" w:eastAsia="仿宋_GB2312" w:cs="仿宋_GB2312"/>
                <w:sz w:val="22"/>
                <w:szCs w:val="24"/>
              </w:rPr>
            </w:pPr>
            <w:r>
              <w:rPr>
                <w:rFonts w:hint="eastAsia" w:ascii="楷体_GB2312" w:hAnsi="楷体_GB2312" w:eastAsia="楷体_GB2312" w:cs="楷体_GB2312"/>
                <w:b/>
                <w:bCs/>
                <w:color w:val="auto"/>
                <w:sz w:val="22"/>
                <w:szCs w:val="22"/>
                <w:lang w:val="en-US" w:eastAsia="zh-CN"/>
              </w:rPr>
              <w:t>8.重点流域农业面源污染治理工程。</w:t>
            </w:r>
            <w:r>
              <w:rPr>
                <w:rFonts w:hint="eastAsia" w:ascii="仿宋_GB2312" w:hAnsi="仿宋_GB2312" w:eastAsia="仿宋_GB2312" w:cs="仿宋_GB2312"/>
                <w:b w:val="0"/>
                <w:bCs w:val="0"/>
                <w:kern w:val="2"/>
                <w:sz w:val="22"/>
                <w:szCs w:val="28"/>
                <w:lang w:val="en-US" w:eastAsia="zh-CN" w:bidi="ar-SA"/>
              </w:rPr>
              <w:t>开展</w:t>
            </w:r>
            <w:r>
              <w:rPr>
                <w:rFonts w:hint="eastAsia" w:ascii="仿宋_GB2312" w:hAnsi="仿宋_GB2312" w:eastAsia="仿宋_GB2312" w:cs="仿宋_GB2312"/>
                <w:color w:val="auto"/>
                <w:sz w:val="22"/>
                <w:szCs w:val="24"/>
              </w:rPr>
              <w:t>农业面源污染全要素全链条防治，</w:t>
            </w:r>
            <w:r>
              <w:rPr>
                <w:rFonts w:hint="eastAsia" w:ascii="仿宋_GB2312" w:hAnsi="仿宋_GB2312" w:eastAsia="仿宋_GB2312" w:cs="仿宋_GB2312"/>
                <w:sz w:val="22"/>
                <w:szCs w:val="24"/>
              </w:rPr>
              <w:t>建设</w:t>
            </w:r>
            <w:r>
              <w:rPr>
                <w:rFonts w:hint="eastAsia" w:ascii="Times New Roman" w:hAnsi="Times New Roman" w:eastAsia="仿宋_GB2312" w:cs="Times New Roman"/>
                <w:sz w:val="22"/>
                <w:szCs w:val="22"/>
              </w:rPr>
              <w:t>5</w:t>
            </w:r>
            <w:r>
              <w:rPr>
                <w:rFonts w:hint="eastAsia" w:ascii="仿宋_GB2312" w:hAnsi="仿宋_GB2312" w:eastAsia="仿宋_GB2312" w:cs="仿宋_GB2312"/>
                <w:sz w:val="22"/>
                <w:szCs w:val="24"/>
              </w:rPr>
              <w:t>个农业面源污染治理重点县，因地制宜实施农田面源污染防治。积极开展农业面源污染治理与监督指导试点，建立地表水环境监测体系，开展农业面源污染调查监测和污染复核评估。</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textAlignment w:val="auto"/>
              <w:outlineLvl w:val="9"/>
            </w:pPr>
            <w:r>
              <w:rPr>
                <w:rFonts w:hint="eastAsia" w:ascii="楷体_GB2312" w:hAnsi="楷体_GB2312" w:eastAsia="楷体_GB2312" w:cs="楷体_GB2312"/>
                <w:b/>
                <w:bCs/>
                <w:color w:val="auto"/>
                <w:sz w:val="22"/>
                <w:szCs w:val="22"/>
                <w:lang w:val="en-US" w:eastAsia="zh-CN"/>
              </w:rPr>
              <w:t>9.渔业养殖尾水治理。</w:t>
            </w:r>
            <w:r>
              <w:rPr>
                <w:rFonts w:hint="eastAsia" w:ascii="仿宋_GB2312" w:hAnsi="仿宋_GB2312" w:eastAsia="仿宋_GB2312" w:cs="仿宋_GB2312"/>
                <w:color w:val="auto"/>
                <w:sz w:val="22"/>
                <w:szCs w:val="22"/>
              </w:rPr>
              <w:t>因地制宜</w:t>
            </w:r>
            <w:r>
              <w:rPr>
                <w:rFonts w:hint="eastAsia" w:ascii="仿宋_GB2312" w:hAnsi="仿宋_GB2312" w:eastAsia="仿宋_GB2312" w:cs="仿宋_GB2312"/>
                <w:color w:val="auto"/>
                <w:sz w:val="22"/>
                <w:szCs w:val="22"/>
                <w:lang w:eastAsia="zh-CN"/>
              </w:rPr>
              <w:t>实施</w:t>
            </w:r>
            <w:r>
              <w:rPr>
                <w:rFonts w:hint="eastAsia" w:ascii="仿宋_GB2312" w:hAnsi="仿宋_GB2312" w:eastAsia="仿宋_GB2312" w:cs="仿宋_GB2312"/>
                <w:color w:val="auto"/>
                <w:sz w:val="22"/>
                <w:szCs w:val="22"/>
              </w:rPr>
              <w:t>养殖尾水治理技术措施，对老旧池塘实行标准化改造。建设进排水质净化设施，采用循环水养殖技术，进行原位、异位尾水治理。</w:t>
            </w:r>
          </w:p>
        </w:tc>
      </w:tr>
      <w:bookmarkEnd w:id="100"/>
      <w:bookmarkEnd w:id="157"/>
    </w:tbl>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黑体" w:hAnsi="黑体" w:eastAsia="黑体" w:cs="黑体"/>
          <w:b w:val="0"/>
          <w:bCs w:val="0"/>
          <w:sz w:val="32"/>
          <w:szCs w:val="32"/>
        </w:rPr>
      </w:pPr>
      <w:bookmarkStart w:id="158" w:name="_Toc10834"/>
      <w:bookmarkStart w:id="159" w:name="_Toc29766"/>
      <w:bookmarkStart w:id="160" w:name="_Toc47634576"/>
      <w:bookmarkStart w:id="161" w:name="_Toc26727"/>
      <w:bookmarkStart w:id="162" w:name="_Toc30224"/>
      <w:bookmarkStart w:id="163" w:name="_Toc64884474"/>
      <w:bookmarkStart w:id="164" w:name="_Toc22838"/>
      <w:bookmarkStart w:id="165" w:name="_Toc8065"/>
      <w:bookmarkStart w:id="166" w:name="_Toc18327"/>
      <w:r>
        <w:rPr>
          <w:rFonts w:hint="eastAsia" w:ascii="黑体" w:hAnsi="黑体" w:eastAsia="黑体" w:cs="黑体"/>
          <w:b w:val="0"/>
          <w:bCs w:val="0"/>
          <w:sz w:val="32"/>
          <w:szCs w:val="32"/>
        </w:rPr>
        <w:t xml:space="preserve">第五章 </w:t>
      </w:r>
      <w:bookmarkEnd w:id="158"/>
      <w:bookmarkEnd w:id="159"/>
      <w:bookmarkEnd w:id="160"/>
      <w:bookmarkEnd w:id="161"/>
      <w:bookmarkEnd w:id="162"/>
      <w:bookmarkEnd w:id="163"/>
      <w:bookmarkEnd w:id="164"/>
      <w:bookmarkEnd w:id="165"/>
      <w:r>
        <w:rPr>
          <w:rFonts w:hint="eastAsia" w:ascii="黑体" w:hAnsi="黑体" w:eastAsia="黑体" w:cs="黑体"/>
          <w:b w:val="0"/>
          <w:bCs w:val="0"/>
          <w:sz w:val="32"/>
          <w:szCs w:val="32"/>
        </w:rPr>
        <w:t>推进农业生态养护修复</w:t>
      </w:r>
      <w:bookmarkEnd w:id="166"/>
    </w:p>
    <w:p>
      <w:pPr>
        <w:pStyle w:val="4"/>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楷体_GB2312" w:hAnsi="楷体_GB2312" w:eastAsia="楷体_GB2312" w:cs="楷体_GB2312"/>
          <w:sz w:val="32"/>
          <w:szCs w:val="32"/>
        </w:rPr>
      </w:pPr>
      <w:bookmarkStart w:id="167" w:name="_Toc1282"/>
      <w:bookmarkStart w:id="168" w:name="_Toc2591"/>
      <w:bookmarkStart w:id="169" w:name="_Toc10203443"/>
      <w:bookmarkStart w:id="170" w:name="_Toc7946"/>
      <w:bookmarkStart w:id="171" w:name="_Toc32"/>
      <w:bookmarkStart w:id="172" w:name="_Toc65059548"/>
      <w:bookmarkStart w:id="173" w:name="_Toc19857"/>
      <w:bookmarkStart w:id="174" w:name="_Toc47634577"/>
      <w:bookmarkStart w:id="175" w:name="_Toc14859"/>
      <w:r>
        <w:rPr>
          <w:rFonts w:hint="eastAsia" w:ascii="楷体_GB2312" w:hAnsi="楷体_GB2312" w:eastAsia="楷体_GB2312" w:cs="楷体_GB2312"/>
          <w:sz w:val="32"/>
          <w:szCs w:val="32"/>
          <w:lang w:eastAsia="zh-CN"/>
        </w:rPr>
        <w:t>第一节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推进耕地生态修复</w:t>
      </w:r>
      <w:bookmarkEnd w:id="167"/>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sz w:val="32"/>
          <w:szCs w:val="32"/>
        </w:rPr>
      </w:pPr>
      <w:r>
        <w:rPr>
          <w:rFonts w:hint="eastAsia" w:ascii="仿宋_GB2312" w:hAnsi="仿宋_GB2312" w:eastAsia="仿宋_GB2312" w:cs="仿宋_GB2312"/>
          <w:b w:val="0"/>
          <w:bCs/>
          <w:sz w:val="32"/>
          <w:szCs w:val="32"/>
        </w:rPr>
        <w:t>健全耕地轮作休耕制度。</w:t>
      </w:r>
      <w:r>
        <w:rPr>
          <w:rFonts w:hint="eastAsia"/>
          <w:sz w:val="32"/>
          <w:szCs w:val="32"/>
        </w:rPr>
        <w:t>坚持生态优先、综合治理、轮作为主、休耕为辅原则，推动用地与养地相结合。在引黄灌区重点开展耕地轮作试点，引导新型经营主体、种植农户实施耕地轮作，减少多年重茬、过度利用，重度盐碱地实施休耕养护，提升耕地质量水平</w:t>
      </w:r>
      <w:r>
        <w:rPr>
          <w:rFonts w:hint="eastAsia"/>
          <w:sz w:val="32"/>
          <w:szCs w:val="32"/>
          <w:lang w:eastAsia="zh-CN"/>
        </w:rPr>
        <w:t>。</w:t>
      </w:r>
      <w:r>
        <w:rPr>
          <w:rFonts w:hint="eastAsia"/>
          <w:sz w:val="32"/>
          <w:szCs w:val="32"/>
        </w:rPr>
        <w:t>在生态移民迁出区及中部干旱带，实施压砂地</w:t>
      </w:r>
      <w:r>
        <w:rPr>
          <w:rFonts w:hint="eastAsia"/>
          <w:sz w:val="32"/>
          <w:szCs w:val="32"/>
          <w:lang w:eastAsia="zh-CN"/>
        </w:rPr>
        <w:t>有序</w:t>
      </w:r>
      <w:r>
        <w:rPr>
          <w:rFonts w:hint="eastAsia"/>
          <w:sz w:val="32"/>
          <w:szCs w:val="32"/>
        </w:rPr>
        <w:t>退出措施</w:t>
      </w:r>
      <w:r>
        <w:rPr>
          <w:rFonts w:hint="eastAsia"/>
          <w:sz w:val="32"/>
          <w:szCs w:val="32"/>
          <w:lang w:eastAsia="zh-CN"/>
        </w:rPr>
        <w:t>。</w:t>
      </w:r>
      <w:r>
        <w:rPr>
          <w:rFonts w:hint="eastAsia"/>
          <w:sz w:val="32"/>
          <w:szCs w:val="32"/>
        </w:rPr>
        <w:t>在南部山区土层瘠薄、水资源匮乏区域，实施免耕少耕、深松浅翻、粮豆轮作等保护性耕作制度，提升农田生态功能。到2025年，</w:t>
      </w:r>
      <w:r>
        <w:rPr>
          <w:rFonts w:hint="eastAsia"/>
          <w:sz w:val="32"/>
          <w:szCs w:val="32"/>
          <w:lang w:eastAsia="zh-CN"/>
        </w:rPr>
        <w:t>非确权耕地</w:t>
      </w:r>
      <w:r>
        <w:rPr>
          <w:rFonts w:hint="eastAsia"/>
          <w:sz w:val="32"/>
          <w:szCs w:val="32"/>
        </w:rPr>
        <w:t>压砂地种植作物有序退出，其它耕地因地制宜实行轮作休耕。</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sz w:val="32"/>
          <w:szCs w:val="32"/>
        </w:rPr>
      </w:pPr>
      <w:r>
        <w:rPr>
          <w:rFonts w:hint="eastAsia" w:ascii="仿宋_GB2312" w:hAnsi="仿宋_GB2312" w:eastAsia="仿宋_GB2312" w:cs="仿宋_GB2312"/>
          <w:b w:val="0"/>
          <w:bCs/>
          <w:sz w:val="32"/>
          <w:szCs w:val="32"/>
        </w:rPr>
        <w:t>实施污染耕地治理。</w:t>
      </w:r>
      <w:r>
        <w:rPr>
          <w:rFonts w:hint="eastAsia"/>
          <w:sz w:val="32"/>
          <w:szCs w:val="32"/>
        </w:rPr>
        <w:t>开展耕地污染调查监测，合理优化耕地环境质量监测网点，开展耕地环境监测调查，摸清底数，建立台账，长期监测，根据调查结果实施耕地土壤环境质量分类管理，建立完善优先保护类、安全利用类和严格管控类耕地管理清单，分类开展污染耕地治理，对受污染耕地进行严格管控，采取农艺措施治理修复，提升受污染耕地安全利用水平。</w:t>
      </w:r>
    </w:p>
    <w:p>
      <w:pPr>
        <w:pStyle w:val="4"/>
        <w:keepNext/>
        <w:keepLines/>
        <w:pageBreakBefore w:val="0"/>
        <w:widowControl w:val="0"/>
        <w:kinsoku/>
        <w:wordWrap/>
        <w:overflowPunct/>
        <w:topLinePunct w:val="0"/>
        <w:autoSpaceDE/>
        <w:autoSpaceDN/>
        <w:bidi w:val="0"/>
        <w:adjustRightInd/>
        <w:snapToGrid/>
        <w:spacing w:before="260" w:after="260" w:line="240" w:lineRule="auto"/>
        <w:ind w:left="0" w:leftChars="0" w:right="0" w:rightChars="0" w:firstLine="0" w:firstLineChars="0"/>
        <w:jc w:val="center"/>
        <w:textAlignment w:val="auto"/>
        <w:outlineLvl w:val="1"/>
        <w:rPr>
          <w:rFonts w:hint="eastAsia" w:ascii="楷体_GB2312" w:hAnsi="楷体_GB2312" w:eastAsia="楷体_GB2312" w:cs="楷体_GB2312"/>
          <w:sz w:val="32"/>
          <w:szCs w:val="32"/>
        </w:rPr>
      </w:pPr>
      <w:bookmarkStart w:id="176" w:name="_Toc9254"/>
      <w:r>
        <w:rPr>
          <w:rFonts w:hint="eastAsia" w:ascii="楷体_GB2312" w:hAnsi="楷体_GB2312" w:eastAsia="楷体_GB2312" w:cs="楷体_GB2312"/>
          <w:sz w:val="32"/>
          <w:szCs w:val="32"/>
          <w:lang w:eastAsia="zh-CN"/>
        </w:rPr>
        <w:t>第二节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加强全流域农业生态保护</w:t>
      </w:r>
      <w:bookmarkEnd w:id="176"/>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sz w:val="32"/>
          <w:szCs w:val="32"/>
        </w:rPr>
      </w:pPr>
      <w:r>
        <w:rPr>
          <w:rFonts w:hint="eastAsia" w:ascii="仿宋_GB2312" w:hAnsi="仿宋_GB2312" w:eastAsia="仿宋_GB2312" w:cs="仿宋_GB2312"/>
          <w:b w:val="0"/>
          <w:bCs/>
          <w:sz w:val="32"/>
          <w:szCs w:val="32"/>
        </w:rPr>
        <w:t>建设绿色农田生态系统。</w:t>
      </w:r>
      <w:r>
        <w:rPr>
          <w:rFonts w:hint="eastAsia"/>
          <w:sz w:val="32"/>
          <w:szCs w:val="32"/>
        </w:rPr>
        <w:t>遵循生态系统整体性、生物多样性规律，结合农田基本建设，加强山水林田湖草沙综合治理，实施农田保护性修复措施，建设完善生物缓冲带、防护林网、灌溉渠系等田间基础设施。建设农田生态廊道，营造复合型、生态型农田林网，恢复田间生物群落和生态链，确保农田生态系统稳定健康。发挥稻田生态涵养功能，推广稻渔生态种养模式，建设一批稻田人工湿地，涵养引黄灌区生态功能。优化乡村功能，合理确定种养规模，坚持在保护中利用、在利用中保护，增强田园生态系统的稳定性和可持续性。到2025年，初步建成种养结合、生态循环、环境优美的田园生态系统。</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sz w:val="32"/>
          <w:szCs w:val="32"/>
        </w:rPr>
      </w:pPr>
      <w:r>
        <w:rPr>
          <w:rFonts w:hint="eastAsia" w:ascii="仿宋_GB2312" w:hAnsi="仿宋_GB2312" w:eastAsia="仿宋_GB2312" w:cs="仿宋_GB2312"/>
          <w:b w:val="0"/>
          <w:bCs/>
          <w:sz w:val="32"/>
          <w:szCs w:val="32"/>
        </w:rPr>
        <w:t>保护修复水生生态系统。</w:t>
      </w:r>
      <w:r>
        <w:rPr>
          <w:rFonts w:hint="eastAsia"/>
          <w:sz w:val="32"/>
          <w:szCs w:val="32"/>
        </w:rPr>
        <w:t>加强水生生物资源养护，根据黄河、清水河及其附属水域不同生态类型，科学开展水生生物增殖放流，严格执行黄河流域禁渔期制度，强化渔政执法，依法打击各类破坏水生生物资源和渔业生态环境的行为。建立以湿地自然保护区、湿地公园以及滨河大道两侧为主体的湿地保护和修复体系，实施植被修复、水系连通、退耕还湿、野生动物栖息地恢复等措施。在有条件的入黄沟道末端适度规</w:t>
      </w:r>
      <w:r>
        <w:rPr>
          <w:rFonts w:hint="eastAsia" w:ascii="仿宋_GB2312" w:hAnsi="仿宋_GB2312" w:eastAsia="仿宋_GB2312" w:cs="仿宋_GB2312"/>
          <w:sz w:val="32"/>
          <w:szCs w:val="32"/>
        </w:rPr>
        <w:t>划建设人工湿地，营造水系连通的近自然湿地水系。科学确定黄河河砂</w:t>
      </w:r>
      <w:r>
        <w:rPr>
          <w:rFonts w:hint="eastAsia" w:hAnsi="仿宋_GB2312" w:cs="仿宋_GB2312"/>
          <w:sz w:val="32"/>
          <w:szCs w:val="32"/>
        </w:rPr>
        <w:t>禁采区</w:t>
      </w:r>
      <w:r>
        <w:rPr>
          <w:rFonts w:hint="eastAsia" w:ascii="仿宋_GB2312" w:hAnsi="仿宋_GB2312" w:eastAsia="仿宋_GB2312" w:cs="仿宋_GB2312"/>
          <w:sz w:val="32"/>
          <w:szCs w:val="32"/>
        </w:rPr>
        <w:t>、</w:t>
      </w:r>
      <w:r>
        <w:rPr>
          <w:rFonts w:hint="eastAsia" w:hAnsi="仿宋_GB2312" w:cs="仿宋_GB2312"/>
          <w:sz w:val="32"/>
          <w:szCs w:val="32"/>
        </w:rPr>
        <w:t>禁采期，保护“母亲河”水域生态。到2025年，湿地保护率达到58%。</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sz w:val="32"/>
          <w:szCs w:val="32"/>
        </w:rPr>
      </w:pPr>
      <w:r>
        <w:rPr>
          <w:rFonts w:hint="eastAsia" w:ascii="仿宋_GB2312" w:hAnsi="仿宋_GB2312" w:eastAsia="仿宋_GB2312" w:cs="仿宋_GB2312"/>
          <w:b w:val="0"/>
          <w:bCs/>
          <w:sz w:val="32"/>
          <w:szCs w:val="32"/>
        </w:rPr>
        <w:t>保护修复森林草原生态系统。</w:t>
      </w:r>
      <w:r>
        <w:rPr>
          <w:rFonts w:hint="eastAsia" w:ascii="仿宋_GB2312" w:hAnsi="仿宋_GB2312" w:eastAsia="仿宋_GB2312" w:cs="仿宋_GB2312"/>
          <w:sz w:val="32"/>
          <w:szCs w:val="32"/>
          <w:lang w:val="en-US" w:eastAsia="zh-CN"/>
        </w:rPr>
        <w:t>科学实施国土绿化，扎实开展北部防护林、中部防沙治沙、南部水源涵养等工程建设，打造引黄灌区防护林、</w:t>
      </w:r>
      <w:r>
        <w:rPr>
          <w:rFonts w:hint="eastAsia" w:ascii="仿宋_GB2312" w:hAnsi="仿宋_GB2312" w:cs="仿宋_GB2312"/>
          <w:sz w:val="32"/>
          <w:szCs w:val="32"/>
          <w:lang w:val="en-US" w:eastAsia="zh-CN"/>
        </w:rPr>
        <w:t>中部</w:t>
      </w:r>
      <w:r>
        <w:rPr>
          <w:rFonts w:hint="eastAsia" w:ascii="仿宋_GB2312" w:hAnsi="仿宋_GB2312" w:eastAsia="仿宋_GB2312" w:cs="仿宋_GB2312"/>
          <w:sz w:val="32"/>
          <w:szCs w:val="32"/>
          <w:lang w:val="en-US" w:eastAsia="zh-CN"/>
        </w:rPr>
        <w:t>干旱带防风固沙和水土保持林、六盘山区水源涵养和水土保持林等生态体系，提升森林草原生态保护功能</w:t>
      </w:r>
      <w:r>
        <w:rPr>
          <w:rFonts w:hint="eastAsia"/>
          <w:sz w:val="32"/>
          <w:szCs w:val="32"/>
        </w:rPr>
        <w:t>。坚持基本草原保护制度，深化草原承包经营制度改革，完善新一轮草原生态保护补助奖励政策，建立草原生态损害赔偿和责任追究制度，坚决遏制人为破坏林草植被行为，着力构建产权清晰、多元参与、激励约束并重的草原保护管理制度体系，促进草原生态修复。到2025年，全区森林覆盖率达到20%，草原植被覆盖度达到57%。</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sz w:val="32"/>
          <w:szCs w:val="32"/>
        </w:rPr>
      </w:pPr>
      <w:r>
        <w:rPr>
          <w:rFonts w:hint="eastAsia" w:ascii="仿宋_GB2312" w:hAnsi="仿宋_GB2312" w:eastAsia="仿宋_GB2312" w:cs="仿宋_GB2312"/>
          <w:b w:val="0"/>
          <w:bCs/>
          <w:sz w:val="32"/>
          <w:szCs w:val="32"/>
        </w:rPr>
        <w:t>开发农业生态价值。</w:t>
      </w:r>
      <w:r>
        <w:rPr>
          <w:rFonts w:hint="eastAsia"/>
          <w:sz w:val="32"/>
          <w:szCs w:val="32"/>
        </w:rPr>
        <w:t>落实2030年前力争实现碳达峰的要求，强化森林、草原、农田、土壤固碳功能，积极推广种养业生产过程温室气体减排技术，持续推进农业废弃物资源化、能源化利用，推动农业固碳减排。</w:t>
      </w:r>
      <w:r>
        <w:rPr>
          <w:sz w:val="32"/>
          <w:szCs w:val="32"/>
        </w:rPr>
        <w:t>加强重点生态系统保护和修复力度，</w:t>
      </w:r>
      <w:r>
        <w:rPr>
          <w:rFonts w:hint="eastAsia"/>
          <w:sz w:val="32"/>
          <w:szCs w:val="32"/>
        </w:rPr>
        <w:t>引黄灌区结合盐碱地治理、黄河滩涂整治，构建河林田草湿地综合生态系统</w:t>
      </w:r>
      <w:r>
        <w:rPr>
          <w:rFonts w:hint="eastAsia"/>
          <w:sz w:val="32"/>
          <w:szCs w:val="32"/>
          <w:lang w:eastAsia="zh-CN"/>
        </w:rPr>
        <w:t>。</w:t>
      </w:r>
      <w:r>
        <w:rPr>
          <w:rFonts w:hint="eastAsia"/>
          <w:sz w:val="32"/>
          <w:szCs w:val="32"/>
        </w:rPr>
        <w:t>中南部旱作区继续加大封山</w:t>
      </w:r>
      <w:r>
        <w:rPr>
          <w:sz w:val="32"/>
          <w:szCs w:val="32"/>
        </w:rPr>
        <w:t>禁牧</w:t>
      </w:r>
      <w:r>
        <w:rPr>
          <w:rFonts w:hint="eastAsia"/>
          <w:sz w:val="32"/>
          <w:szCs w:val="32"/>
        </w:rPr>
        <w:t>措施，</w:t>
      </w:r>
      <w:r>
        <w:rPr>
          <w:sz w:val="32"/>
          <w:szCs w:val="32"/>
        </w:rPr>
        <w:t>引导农民调整生产生活方式</w:t>
      </w:r>
      <w:r>
        <w:rPr>
          <w:rFonts w:hint="eastAsia"/>
          <w:sz w:val="32"/>
          <w:szCs w:val="32"/>
        </w:rPr>
        <w:t>，</w:t>
      </w:r>
      <w:r>
        <w:rPr>
          <w:sz w:val="32"/>
          <w:szCs w:val="32"/>
        </w:rPr>
        <w:t>积极</w:t>
      </w:r>
      <w:r>
        <w:rPr>
          <w:rFonts w:hint="eastAsia"/>
          <w:sz w:val="32"/>
          <w:szCs w:val="32"/>
        </w:rPr>
        <w:t>推广</w:t>
      </w:r>
      <w:r>
        <w:rPr>
          <w:sz w:val="32"/>
          <w:szCs w:val="32"/>
        </w:rPr>
        <w:t>小流域综合治理</w:t>
      </w:r>
      <w:r>
        <w:rPr>
          <w:rFonts w:hint="eastAsia"/>
          <w:sz w:val="32"/>
          <w:szCs w:val="32"/>
        </w:rPr>
        <w:t>模式，</w:t>
      </w:r>
      <w:r>
        <w:rPr>
          <w:sz w:val="32"/>
          <w:szCs w:val="32"/>
        </w:rPr>
        <w:t>开展旱作梯田、淤地坝建设</w:t>
      </w:r>
      <w:r>
        <w:rPr>
          <w:rFonts w:hint="eastAsia"/>
          <w:sz w:val="32"/>
          <w:szCs w:val="32"/>
        </w:rPr>
        <w:t>。在严格保护生态环境的前提下，挖掘自然风貌、人文环境、乡土文化等价值，开发</w:t>
      </w:r>
      <w:r>
        <w:rPr>
          <w:sz w:val="32"/>
          <w:szCs w:val="32"/>
        </w:rPr>
        <w:t>休闲观光</w:t>
      </w:r>
      <w:r>
        <w:rPr>
          <w:rFonts w:hint="eastAsia"/>
          <w:sz w:val="32"/>
          <w:szCs w:val="32"/>
        </w:rPr>
        <w:t>、</w:t>
      </w:r>
      <w:r>
        <w:rPr>
          <w:rFonts w:hint="eastAsia"/>
          <w:sz w:val="32"/>
          <w:szCs w:val="32"/>
          <w:lang w:eastAsia="zh-CN"/>
        </w:rPr>
        <w:t>农</w:t>
      </w:r>
      <w:r>
        <w:rPr>
          <w:rFonts w:hint="eastAsia"/>
          <w:sz w:val="32"/>
          <w:szCs w:val="32"/>
        </w:rPr>
        <w:t>事体验、生态康养等多种</w:t>
      </w:r>
      <w:r>
        <w:rPr>
          <w:sz w:val="32"/>
          <w:szCs w:val="32"/>
        </w:rPr>
        <w:t>生态</w:t>
      </w:r>
      <w:r>
        <w:rPr>
          <w:rFonts w:hint="eastAsia"/>
          <w:sz w:val="32"/>
          <w:szCs w:val="32"/>
        </w:rPr>
        <w:t>功能。实施优秀农耕文化保护与传承示范工程</w:t>
      </w:r>
      <w:r>
        <w:rPr>
          <w:sz w:val="32"/>
          <w:szCs w:val="32"/>
        </w:rPr>
        <w:t>，</w:t>
      </w:r>
      <w:r>
        <w:rPr>
          <w:rFonts w:hint="eastAsia"/>
          <w:sz w:val="32"/>
          <w:szCs w:val="32"/>
        </w:rPr>
        <w:t>发掘农业文化遗产价值，保护传统村落、传统民居。</w:t>
      </w:r>
    </w:p>
    <w:p>
      <w:pPr>
        <w:pStyle w:val="4"/>
        <w:keepNext/>
        <w:keepLines/>
        <w:pageBreakBefore w:val="0"/>
        <w:widowControl w:val="0"/>
        <w:kinsoku/>
        <w:wordWrap/>
        <w:overflowPunct/>
        <w:topLinePunct w:val="0"/>
        <w:autoSpaceDE/>
        <w:autoSpaceDN/>
        <w:bidi w:val="0"/>
        <w:adjustRightInd/>
        <w:snapToGrid/>
        <w:spacing w:before="260" w:after="260" w:line="240" w:lineRule="auto"/>
        <w:ind w:left="0" w:leftChars="0" w:right="0" w:rightChars="0" w:firstLine="0" w:firstLineChars="0"/>
        <w:jc w:val="center"/>
        <w:textAlignment w:val="auto"/>
        <w:outlineLvl w:val="1"/>
        <w:rPr>
          <w:rFonts w:hint="eastAsia" w:ascii="楷体_GB2312" w:hAnsi="楷体_GB2312" w:eastAsia="楷体_GB2312" w:cs="楷体_GB2312"/>
          <w:sz w:val="32"/>
          <w:szCs w:val="32"/>
        </w:rPr>
      </w:pPr>
      <w:bookmarkStart w:id="177" w:name="_Toc3259"/>
      <w:r>
        <w:rPr>
          <w:rFonts w:hint="eastAsia" w:ascii="楷体_GB2312" w:hAnsi="楷体_GB2312" w:eastAsia="楷体_GB2312" w:cs="楷体_GB2312"/>
          <w:sz w:val="32"/>
          <w:szCs w:val="32"/>
          <w:lang w:eastAsia="zh-CN"/>
        </w:rPr>
        <w:t>第三节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推进农村村庄生态保护</w:t>
      </w:r>
      <w:bookmarkEnd w:id="177"/>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sz w:val="32"/>
          <w:szCs w:val="32"/>
        </w:rPr>
      </w:pPr>
      <w:bookmarkStart w:id="178" w:name="_Toc22380"/>
      <w:bookmarkStart w:id="179" w:name="_Toc7254"/>
      <w:bookmarkStart w:id="180" w:name="_Toc20817"/>
      <w:bookmarkStart w:id="181" w:name="_Toc47634582"/>
      <w:bookmarkStart w:id="182" w:name="_Toc4315"/>
      <w:bookmarkStart w:id="183" w:name="_Toc25771"/>
      <w:r>
        <w:rPr>
          <w:rFonts w:hint="eastAsia" w:ascii="仿宋_GB2312" w:hAnsi="仿宋_GB2312" w:eastAsia="仿宋_GB2312" w:cs="仿宋_GB2312"/>
          <w:b w:val="0"/>
          <w:bCs/>
          <w:sz w:val="32"/>
          <w:szCs w:val="32"/>
        </w:rPr>
        <w:t>加强农村水环境治理</w:t>
      </w:r>
      <w:bookmarkEnd w:id="178"/>
      <w:bookmarkEnd w:id="179"/>
      <w:bookmarkEnd w:id="180"/>
      <w:bookmarkEnd w:id="181"/>
      <w:bookmarkEnd w:id="182"/>
      <w:bookmarkEnd w:id="183"/>
      <w:r>
        <w:rPr>
          <w:rFonts w:hint="eastAsia" w:ascii="仿宋_GB2312" w:hAnsi="仿宋_GB2312" w:eastAsia="仿宋_GB2312" w:cs="仿宋_GB2312"/>
          <w:b w:val="0"/>
          <w:bCs/>
          <w:sz w:val="32"/>
          <w:szCs w:val="32"/>
        </w:rPr>
        <w:t>。</w:t>
      </w:r>
      <w:r>
        <w:rPr>
          <w:sz w:val="32"/>
          <w:szCs w:val="32"/>
        </w:rPr>
        <w:t>梯次推进农村生活污水治理。坚持集中治理与分散治理相结合，</w:t>
      </w:r>
      <w:r>
        <w:rPr>
          <w:rFonts w:hint="eastAsia"/>
          <w:sz w:val="32"/>
          <w:szCs w:val="32"/>
        </w:rPr>
        <w:t>因地制宜建设农村生活污水处理设施，梯次推进农村生活污水治理。城镇近郊村庄生活污水逐步纳入</w:t>
      </w:r>
      <w:r>
        <w:rPr>
          <w:sz w:val="32"/>
          <w:szCs w:val="32"/>
        </w:rPr>
        <w:t>城镇污水管网集中统一处理，</w:t>
      </w:r>
      <w:r>
        <w:rPr>
          <w:rFonts w:hint="eastAsia"/>
          <w:sz w:val="32"/>
          <w:szCs w:val="32"/>
        </w:rPr>
        <w:t>加快推动农村污水处理设施和管网建设，推动污水管网向周边农村延伸覆盖。村庄布局分散、人口规模较小、地形条件复杂、污水不易集中收集的</w:t>
      </w:r>
      <w:r>
        <w:rPr>
          <w:sz w:val="32"/>
          <w:szCs w:val="32"/>
        </w:rPr>
        <w:t>分散处理片区</w:t>
      </w:r>
      <w:r>
        <w:rPr>
          <w:rFonts w:hint="eastAsia"/>
          <w:sz w:val="32"/>
          <w:szCs w:val="32"/>
        </w:rPr>
        <w:t>，采用分散式污水处理模式。</w:t>
      </w:r>
      <w:r>
        <w:rPr>
          <w:rFonts w:hint="eastAsia"/>
          <w:sz w:val="32"/>
          <w:szCs w:val="32"/>
          <w:lang w:eastAsia="zh-CN"/>
        </w:rPr>
        <w:t>基本</w:t>
      </w:r>
      <w:r>
        <w:rPr>
          <w:rFonts w:hint="eastAsia"/>
          <w:sz w:val="32"/>
          <w:szCs w:val="32"/>
        </w:rPr>
        <w:t>消除</w:t>
      </w:r>
      <w:r>
        <w:rPr>
          <w:rFonts w:hint="eastAsia"/>
          <w:sz w:val="32"/>
          <w:szCs w:val="32"/>
          <w:lang w:eastAsia="zh-CN"/>
        </w:rPr>
        <w:t>较大面积</w:t>
      </w:r>
      <w:r>
        <w:rPr>
          <w:rFonts w:hint="eastAsia"/>
          <w:sz w:val="32"/>
          <w:szCs w:val="32"/>
        </w:rPr>
        <w:t>农村黑臭水体。</w:t>
      </w:r>
      <w:r>
        <w:rPr>
          <w:sz w:val="32"/>
          <w:szCs w:val="32"/>
        </w:rPr>
        <w:t>全面推行河（湖）长制向乡村一级延伸，加强农村河湖管理保护，</w:t>
      </w:r>
      <w:r>
        <w:rPr>
          <w:rFonts w:hint="eastAsia"/>
          <w:sz w:val="32"/>
          <w:szCs w:val="32"/>
        </w:rPr>
        <w:t>按照“一河一策”“一湖一策”实施水生态恢复和景观再造。以房前屋后河塘沟渠、排水沟等为重点，清理塘沟等水域内漂浮物，持续开展污染水体水面及沿岸积存生活垃圾、建筑垃圾打捞清运。开展生态清洁小流域建设，加强乡村水生态和河塘清淤整治，畅通乡村水网体系，改善农村水环境。</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sz w:val="32"/>
          <w:szCs w:val="32"/>
        </w:rPr>
      </w:pPr>
      <w:bookmarkStart w:id="184" w:name="_Toc21780"/>
      <w:bookmarkStart w:id="185" w:name="_Toc47634583"/>
      <w:bookmarkStart w:id="186" w:name="_Toc20683"/>
      <w:bookmarkStart w:id="187" w:name="_Toc10203449"/>
      <w:bookmarkStart w:id="188" w:name="_Toc12902"/>
      <w:bookmarkStart w:id="189" w:name="_Toc11255"/>
      <w:bookmarkStart w:id="190" w:name="_Toc23594"/>
      <w:r>
        <w:rPr>
          <w:rFonts w:hint="eastAsia" w:ascii="仿宋_GB2312" w:hAnsi="仿宋_GB2312" w:eastAsia="仿宋_GB2312" w:cs="仿宋_GB2312"/>
          <w:b w:val="0"/>
          <w:bCs/>
          <w:sz w:val="32"/>
          <w:szCs w:val="32"/>
        </w:rPr>
        <w:t>推动农村垃圾治理</w:t>
      </w:r>
      <w:bookmarkEnd w:id="184"/>
      <w:bookmarkEnd w:id="185"/>
      <w:bookmarkEnd w:id="186"/>
      <w:bookmarkEnd w:id="187"/>
      <w:bookmarkEnd w:id="188"/>
      <w:bookmarkEnd w:id="189"/>
      <w:bookmarkEnd w:id="190"/>
      <w:r>
        <w:rPr>
          <w:rFonts w:hint="eastAsia" w:ascii="仿宋_GB2312" w:hAnsi="仿宋_GB2312" w:eastAsia="仿宋_GB2312" w:cs="仿宋_GB2312"/>
          <w:b w:val="0"/>
          <w:bCs/>
          <w:sz w:val="32"/>
          <w:szCs w:val="32"/>
        </w:rPr>
        <w:t>。</w:t>
      </w:r>
      <w:r>
        <w:rPr>
          <w:rFonts w:hint="eastAsia"/>
          <w:sz w:val="32"/>
          <w:szCs w:val="32"/>
        </w:rPr>
        <w:t>扎实开展农村垃圾处理。统筹考虑生活垃圾和农业生产废弃物利用、处理，推广“两次六分、四级联动”垃圾处理模式，建立健全符合农村实际、方式多样的生活垃圾收储运体系，布局建设生活垃圾焚烧厂、垃圾卫生填埋场等处理设施，解决生活垃圾乱堆乱放污染问题。规范村庄畜禽散养。加强农村散养户养殖的环保基础设施和畜棚建设，开展畜禽散养农户培训与指导，强化村民的生态养殖观念，提升农村散养户的生态养殖能力和水平。推进农村厕所革命。坚持因地制宜原则，继续实施农村改厕整村推进计划，实行改厕整体规划设计，选择适合的技术模式、严格把控设备质量、规范施工过程、做好建后运行管护工作，保障农村厕所“建好、用好、管好”。到2025年，全区农村卫生厕所普及率</w:t>
      </w:r>
      <w:r>
        <w:rPr>
          <w:rFonts w:hint="eastAsia"/>
          <w:color w:val="auto"/>
          <w:sz w:val="32"/>
          <w:szCs w:val="32"/>
          <w:lang w:eastAsia="zh-CN"/>
        </w:rPr>
        <w:t>稳步提高</w:t>
      </w:r>
      <w:r>
        <w:rPr>
          <w:rFonts w:hint="eastAsia"/>
          <w:sz w:val="32"/>
          <w:szCs w:val="32"/>
        </w:rPr>
        <w:t>。</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33"/>
          <w:rFonts w:hint="eastAsia"/>
          <w:sz w:val="32"/>
          <w:szCs w:val="32"/>
        </w:rPr>
      </w:pPr>
      <w:bookmarkStart w:id="191" w:name="_Toc10203451"/>
      <w:bookmarkStart w:id="192" w:name="_Toc16560"/>
      <w:bookmarkStart w:id="193" w:name="_Toc4624"/>
      <w:bookmarkStart w:id="194" w:name="_Toc29003"/>
      <w:bookmarkStart w:id="195" w:name="_Toc18682"/>
      <w:bookmarkStart w:id="196" w:name="_Toc47634585"/>
      <w:bookmarkStart w:id="197" w:name="_Toc15555"/>
      <w:r>
        <w:rPr>
          <w:rFonts w:hint="eastAsia" w:ascii="仿宋_GB2312" w:hAnsi="仿宋_GB2312" w:eastAsia="仿宋_GB2312" w:cs="仿宋_GB2312"/>
          <w:b w:val="0"/>
          <w:bCs/>
          <w:sz w:val="32"/>
          <w:szCs w:val="32"/>
        </w:rPr>
        <w:t>推进村容村貌改善提升</w:t>
      </w:r>
      <w:bookmarkEnd w:id="191"/>
      <w:bookmarkEnd w:id="192"/>
      <w:bookmarkEnd w:id="193"/>
      <w:bookmarkEnd w:id="194"/>
      <w:bookmarkEnd w:id="195"/>
      <w:bookmarkEnd w:id="196"/>
      <w:bookmarkEnd w:id="197"/>
      <w:r>
        <w:rPr>
          <w:rFonts w:hint="eastAsia" w:ascii="仿宋_GB2312" w:hAnsi="仿宋_GB2312" w:eastAsia="仿宋_GB2312" w:cs="仿宋_GB2312"/>
          <w:b w:val="0"/>
          <w:bCs/>
          <w:sz w:val="32"/>
          <w:szCs w:val="32"/>
        </w:rPr>
        <w:t>。</w:t>
      </w:r>
      <w:r>
        <w:rPr>
          <w:rStyle w:val="33"/>
          <w:rFonts w:hint="eastAsia"/>
          <w:sz w:val="32"/>
          <w:szCs w:val="32"/>
        </w:rPr>
        <w:t>推进农村基础设施提升。实施农村人居环境整治整县推进，加快推进绿色村庄建设，加大乡村公共空间和庭院环境整治，消除乱搭乱建、占道经营现象，拆除废旧窝棚，推进人畜禽分离，建设绿色生态村庄。推广使用绿色能源。积极推进燃气下乡，加快电能、天然气的替代，加快构建以清洁电力和天然气为主体、可再生能源为补充的清洁能源体系，推动示范村农户厨房清洁、庭院清洁、房前屋后清洁和室内空气质量改善，实现生活宜居、生态优美。强化村庄绿化管护。在村庄主干道路、村庄巷道和公共区域实施绿化工程，打造乡村生态绿廊。加强村旁、路旁、宅旁绿化管护，持续推进村容村貌提升，村庄清洁行动实现全覆盖，综合提升田水路林风貌，保护和修复自然景观，建设“塞上田园”美丽乡村。到2025年，建设</w:t>
      </w:r>
      <w:r>
        <w:rPr>
          <w:rStyle w:val="33"/>
          <w:rFonts w:hint="eastAsia"/>
          <w:sz w:val="32"/>
          <w:szCs w:val="32"/>
          <w:lang w:val="en-US"/>
        </w:rPr>
        <w:t>250</w:t>
      </w:r>
      <w:r>
        <w:rPr>
          <w:rStyle w:val="33"/>
          <w:rFonts w:hint="eastAsia"/>
          <w:sz w:val="32"/>
          <w:szCs w:val="32"/>
        </w:rPr>
        <w:t>个宜业、宜居、宜游的“塞上田园”美丽乡村。</w:t>
      </w:r>
    </w:p>
    <w:p>
      <w:pPr>
        <w:pStyle w:val="32"/>
        <w:spacing w:beforeLines="0" w:afterLines="0" w:line="380" w:lineRule="exact"/>
        <w:ind w:firstLine="560"/>
        <w:rPr>
          <w:rStyle w:val="33"/>
          <w:rFonts w:hint="eastAsia"/>
          <w:sz w:val="28"/>
          <w:szCs w:val="28"/>
        </w:rPr>
      </w:pPr>
    </w:p>
    <w:tbl>
      <w:tblPr>
        <w:tblStyle w:val="16"/>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6" w:type="dxa"/>
          </w:tcPr>
          <w:p>
            <w:pPr>
              <w:widowControl/>
              <w:jc w:val="center"/>
              <w:rPr>
                <w:szCs w:val="21"/>
              </w:rPr>
            </w:pPr>
            <w:r>
              <w:rPr>
                <w:rFonts w:hint="eastAsia" w:ascii="黑体" w:hAnsi="黑体" w:eastAsia="黑体" w:cs="黑体"/>
                <w:b w:val="0"/>
                <w:bCs w:val="0"/>
                <w:kern w:val="0"/>
                <w:sz w:val="22"/>
                <w:szCs w:val="22"/>
              </w:rPr>
              <w:t>专栏</w:t>
            </w:r>
            <w:r>
              <w:rPr>
                <w:rFonts w:hint="eastAsia" w:ascii="黑体" w:hAnsi="黑体" w:eastAsia="黑体" w:cs="黑体"/>
                <w:b w:val="0"/>
                <w:bCs w:val="0"/>
                <w:kern w:val="0"/>
                <w:sz w:val="22"/>
                <w:szCs w:val="22"/>
                <w:lang w:val="en-US" w:eastAsia="zh-CN"/>
              </w:rPr>
              <w:t xml:space="preserve">3 </w:t>
            </w:r>
            <w:r>
              <w:rPr>
                <w:rFonts w:hint="eastAsia" w:ascii="黑体" w:hAnsi="黑体" w:eastAsia="黑体" w:cs="黑体"/>
                <w:b w:val="0"/>
                <w:bCs w:val="0"/>
                <w:kern w:val="0"/>
                <w:sz w:val="22"/>
                <w:szCs w:val="22"/>
              </w:rPr>
              <w:t>农业生态保护修复工程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6" w:type="dxa"/>
          </w:tcPr>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b/>
                <w:bCs/>
                <w:sz w:val="22"/>
                <w:szCs w:val="22"/>
              </w:rPr>
            </w:pP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sz w:val="22"/>
                <w:szCs w:val="22"/>
              </w:rPr>
            </w:pPr>
            <w:r>
              <w:rPr>
                <w:rFonts w:hint="eastAsia" w:ascii="楷体_GB2312" w:hAnsi="楷体_GB2312" w:eastAsia="楷体_GB2312" w:cs="楷体_GB2312"/>
                <w:b/>
                <w:bCs/>
                <w:color w:val="auto"/>
                <w:sz w:val="22"/>
                <w:szCs w:val="22"/>
              </w:rPr>
              <w:t>1.耕地轮作休耕。</w:t>
            </w:r>
            <w:r>
              <w:rPr>
                <w:rFonts w:hint="eastAsia" w:ascii="仿宋_GB2312" w:hAnsi="仿宋_GB2312" w:eastAsia="仿宋_GB2312" w:cs="仿宋_GB2312"/>
                <w:sz w:val="22"/>
                <w:szCs w:val="22"/>
              </w:rPr>
              <w:t>引黄灌区重点开展耕地轮作试点；生态移民迁出区、重度盐碱地、压砂地重点实施休耕养护；中部干旱带及南部山区实行免耕少耕、深松浅翻、粮豆轮作等保护性耕作制度。</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auto"/>
                <w:sz w:val="22"/>
                <w:szCs w:val="22"/>
              </w:rPr>
            </w:pPr>
            <w:r>
              <w:rPr>
                <w:rFonts w:hint="eastAsia" w:ascii="楷体_GB2312" w:hAnsi="楷体_GB2312" w:eastAsia="楷体_GB2312" w:cs="楷体_GB2312"/>
                <w:b/>
                <w:bCs/>
                <w:color w:val="auto"/>
                <w:sz w:val="22"/>
                <w:szCs w:val="22"/>
              </w:rPr>
              <w:t>2.农业生态保护修复。</w:t>
            </w:r>
            <w:r>
              <w:rPr>
                <w:rFonts w:hint="eastAsia" w:ascii="仿宋_GB2312" w:hAnsi="仿宋_GB2312" w:eastAsia="仿宋_GB2312" w:cs="仿宋_GB2312"/>
                <w:sz w:val="22"/>
                <w:szCs w:val="22"/>
              </w:rPr>
              <w:t>开展森林草原重大生态修复，因地制宜、规范有序推进重点区域生态保护和修复重大工程建设。建设全国珍贵濒危水生动物增殖放流苗种供应单位</w:t>
            </w:r>
            <w:r>
              <w:rPr>
                <w:rFonts w:hint="eastAsia" w:ascii="Times New Roman" w:hAnsi="Times New Roman" w:eastAsia="仿宋_GB2312" w:cs="Times New Roman"/>
                <w:sz w:val="22"/>
                <w:szCs w:val="22"/>
              </w:rPr>
              <w:t>1</w:t>
            </w:r>
            <w:r>
              <w:rPr>
                <w:rFonts w:hint="eastAsia" w:ascii="仿宋_GB2312" w:hAnsi="仿宋_GB2312" w:eastAsia="仿宋_GB2312" w:cs="仿宋_GB2312"/>
                <w:sz w:val="22"/>
                <w:szCs w:val="22"/>
              </w:rPr>
              <w:t>个，</w:t>
            </w:r>
            <w:r>
              <w:rPr>
                <w:rFonts w:hint="eastAsia" w:ascii="仿宋_GB2312" w:hAnsi="仿宋_GB2312" w:eastAsia="仿宋_GB2312" w:cs="仿宋_GB2312"/>
                <w:color w:val="auto"/>
                <w:sz w:val="22"/>
                <w:szCs w:val="22"/>
              </w:rPr>
              <w:t>实施渔业增殖放流，向黄河宁夏段等保护水域放流各类经济鱼类</w:t>
            </w:r>
            <w:r>
              <w:rPr>
                <w:rFonts w:hint="eastAsia" w:ascii="Times New Roman" w:hAnsi="Times New Roman" w:eastAsia="仿宋_GB2312" w:cs="Times New Roman"/>
                <w:sz w:val="22"/>
                <w:szCs w:val="22"/>
              </w:rPr>
              <w:t>1</w:t>
            </w:r>
            <w:r>
              <w:rPr>
                <w:rFonts w:hint="eastAsia" w:ascii="仿宋_GB2312" w:hAnsi="仿宋_GB2312" w:eastAsia="仿宋_GB2312" w:cs="仿宋_GB2312"/>
                <w:color w:val="auto"/>
                <w:sz w:val="22"/>
                <w:szCs w:val="22"/>
              </w:rPr>
              <w:t>亿尾、濒危物种</w:t>
            </w:r>
            <w:r>
              <w:rPr>
                <w:rFonts w:hint="eastAsia" w:ascii="Times New Roman" w:hAnsi="Times New Roman" w:eastAsia="仿宋_GB2312" w:cs="Times New Roman"/>
                <w:sz w:val="22"/>
                <w:szCs w:val="22"/>
              </w:rPr>
              <w:t>5</w:t>
            </w:r>
            <w:r>
              <w:rPr>
                <w:rFonts w:hint="eastAsia" w:ascii="仿宋_GB2312" w:hAnsi="仿宋_GB2312" w:eastAsia="仿宋_GB2312" w:cs="仿宋_GB2312"/>
                <w:color w:val="auto"/>
                <w:sz w:val="22"/>
                <w:szCs w:val="22"/>
              </w:rPr>
              <w:t>万尾，维护水生生物多样性。</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 w:val="22"/>
                <w:szCs w:val="22"/>
                <w14:textFill>
                  <w14:solidFill>
                    <w14:schemeClr w14:val="tx1"/>
                  </w14:solidFill>
                </w14:textFill>
              </w:rPr>
            </w:pPr>
            <w:r>
              <w:rPr>
                <w:rFonts w:hint="eastAsia" w:ascii="楷体_GB2312" w:hAnsi="楷体_GB2312" w:eastAsia="楷体_GB2312" w:cs="楷体_GB2312"/>
                <w:b/>
                <w:bCs/>
                <w:color w:val="auto"/>
                <w:sz w:val="22"/>
                <w:szCs w:val="22"/>
                <w:lang w:val="en-US" w:eastAsia="zh-CN"/>
              </w:rPr>
              <w:t>3</w:t>
            </w:r>
            <w:r>
              <w:rPr>
                <w:rFonts w:hint="eastAsia" w:ascii="楷体_GB2312" w:hAnsi="楷体_GB2312" w:eastAsia="楷体_GB2312" w:cs="楷体_GB2312"/>
                <w:b/>
                <w:bCs/>
                <w:color w:val="auto"/>
                <w:sz w:val="22"/>
                <w:szCs w:val="22"/>
              </w:rPr>
              <w:t>.农村人居环境整治。</w:t>
            </w:r>
            <w:r>
              <w:rPr>
                <w:rFonts w:hint="eastAsia" w:ascii="仿宋_GB2312" w:hAnsi="仿宋_GB2312" w:eastAsia="仿宋_GB2312" w:cs="仿宋_GB2312"/>
                <w:color w:val="auto"/>
                <w:sz w:val="22"/>
                <w:szCs w:val="22"/>
              </w:rPr>
              <w:t>实施农村人居环境整治提升五年行动，因地制宜稳慎推进农村“厕所革命”；以减量化、生态化、资源化为导向，整流域推进农村生活污水治理，提升污水治理水平；推进农村生活垃圾处置体系全覆盖，建立完善垃圾分类治理模式，开展农村生活垃圾分类示范村建设行动；积极推进清洁能源入村进户；健全农村人居环境管理体系机制，加强村人居环境管理队伍建设，坚持“建管并重”，强化服务保障能力。</w:t>
            </w:r>
            <w:r>
              <w:rPr>
                <w:rFonts w:hint="eastAsia" w:ascii="仿宋_GB2312" w:hAnsi="仿宋_GB2312" w:eastAsia="仿宋_GB2312" w:cs="仿宋_GB2312"/>
                <w:color w:val="000000" w:themeColor="text1"/>
                <w:sz w:val="22"/>
                <w:szCs w:val="22"/>
                <w14:textFill>
                  <w14:solidFill>
                    <w14:schemeClr w14:val="tx1"/>
                  </w14:solidFill>
                </w14:textFill>
              </w:rPr>
              <w:t>到</w:t>
            </w:r>
            <w:r>
              <w:rPr>
                <w:rFonts w:hint="eastAsia" w:ascii="Times New Roman" w:hAnsi="Times New Roman" w:eastAsia="仿宋_GB2312" w:cs="Times New Roman"/>
                <w:sz w:val="22"/>
                <w:szCs w:val="22"/>
              </w:rPr>
              <w:t>2025</w:t>
            </w:r>
            <w:r>
              <w:rPr>
                <w:rFonts w:hint="eastAsia" w:ascii="仿宋_GB2312" w:hAnsi="仿宋_GB2312" w:eastAsia="仿宋_GB2312" w:cs="仿宋_GB2312"/>
                <w:color w:val="000000" w:themeColor="text1"/>
                <w:sz w:val="22"/>
                <w:szCs w:val="22"/>
                <w14:textFill>
                  <w14:solidFill>
                    <w14:schemeClr w14:val="tx1"/>
                  </w14:solidFill>
                </w14:textFill>
              </w:rPr>
              <w:t>年，创建</w:t>
            </w:r>
            <w:r>
              <w:rPr>
                <w:rFonts w:hint="eastAsia" w:ascii="仿宋_GB2312" w:hAnsi="仿宋_GB2312" w:eastAsia="仿宋_GB2312" w:cs="仿宋_GB2312"/>
                <w:color w:val="000000" w:themeColor="text1"/>
                <w:sz w:val="22"/>
                <w:szCs w:val="22"/>
                <w:lang w:eastAsia="zh-CN"/>
                <w14:textFill>
                  <w14:solidFill>
                    <w14:schemeClr w14:val="tx1"/>
                  </w14:solidFill>
                </w14:textFill>
              </w:rPr>
              <w:t>一批</w:t>
            </w:r>
            <w:r>
              <w:rPr>
                <w:rFonts w:hint="eastAsia" w:ascii="仿宋_GB2312" w:hAnsi="仿宋_GB2312" w:eastAsia="仿宋_GB2312" w:cs="仿宋_GB2312"/>
                <w:color w:val="000000" w:themeColor="text1"/>
                <w:sz w:val="22"/>
                <w:szCs w:val="22"/>
                <w14:textFill>
                  <w14:solidFill>
                    <w14:schemeClr w14:val="tx1"/>
                  </w14:solidFill>
                </w14:textFill>
              </w:rPr>
              <w:t>农村人居环境整治示范县</w:t>
            </w:r>
            <w:r>
              <w:rPr>
                <w:rFonts w:hint="eastAsia" w:ascii="仿宋_GB2312" w:hAnsi="仿宋_GB2312" w:eastAsia="仿宋_GB2312" w:cs="仿宋_GB2312"/>
                <w:color w:val="000000" w:themeColor="text1"/>
                <w:sz w:val="22"/>
                <w:szCs w:val="22"/>
                <w:lang w:eastAsia="zh-CN"/>
                <w14:textFill>
                  <w14:solidFill>
                    <w14:schemeClr w14:val="tx1"/>
                  </w14:solidFill>
                </w14:textFill>
              </w:rPr>
              <w:t>、</w:t>
            </w:r>
            <w:r>
              <w:rPr>
                <w:rFonts w:hint="eastAsia" w:ascii="仿宋_GB2312" w:hAnsi="仿宋_GB2312" w:eastAsia="仿宋_GB2312" w:cs="仿宋_GB2312"/>
                <w:color w:val="000000" w:themeColor="text1"/>
                <w:sz w:val="22"/>
                <w:szCs w:val="22"/>
                <w14:textFill>
                  <w14:solidFill>
                    <w14:schemeClr w14:val="tx1"/>
                  </w14:solidFill>
                </w14:textFill>
              </w:rPr>
              <w:t>示范</w:t>
            </w:r>
            <w:r>
              <w:rPr>
                <w:rFonts w:hint="eastAsia" w:ascii="仿宋_GB2312" w:hAnsi="仿宋_GB2312" w:eastAsia="仿宋_GB2312" w:cs="仿宋_GB2312"/>
                <w:color w:val="000000" w:themeColor="text1"/>
                <w:sz w:val="22"/>
                <w:szCs w:val="22"/>
                <w:lang w:eastAsia="zh-CN"/>
                <w14:textFill>
                  <w14:solidFill>
                    <w14:schemeClr w14:val="tx1"/>
                  </w14:solidFill>
                </w14:textFill>
              </w:rPr>
              <w:t>乡、</w:t>
            </w:r>
            <w:r>
              <w:rPr>
                <w:rFonts w:hint="eastAsia" w:ascii="仿宋_GB2312" w:hAnsi="仿宋_GB2312" w:eastAsia="仿宋_GB2312" w:cs="仿宋_GB2312"/>
                <w:color w:val="000000" w:themeColor="text1"/>
                <w:sz w:val="22"/>
                <w:szCs w:val="22"/>
                <w14:textFill>
                  <w14:solidFill>
                    <w14:schemeClr w14:val="tx1"/>
                  </w14:solidFill>
                </w14:textFill>
              </w:rPr>
              <w:t>示范村。</w:t>
            </w: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ascii="仿宋_GB2312" w:hAnsi="仿宋_GB2312" w:eastAsia="仿宋_GB2312" w:cs="仿宋_GB2312"/>
                <w:color w:val="000000" w:themeColor="text1"/>
                <w:szCs w:val="21"/>
                <w14:textFill>
                  <w14:solidFill>
                    <w14:schemeClr w14:val="tx1"/>
                  </w14:solidFill>
                </w14:textFill>
              </w:rPr>
            </w:pPr>
          </w:p>
        </w:tc>
      </w:tr>
      <w:bookmarkEnd w:id="168"/>
      <w:bookmarkEnd w:id="169"/>
      <w:bookmarkEnd w:id="170"/>
      <w:bookmarkEnd w:id="171"/>
      <w:bookmarkEnd w:id="172"/>
      <w:bookmarkEnd w:id="173"/>
      <w:bookmarkEnd w:id="174"/>
      <w:bookmarkEnd w:id="175"/>
    </w:tbl>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黑体" w:hAnsi="黑体" w:eastAsia="黑体" w:cs="黑体"/>
          <w:b w:val="0"/>
          <w:bCs w:val="0"/>
          <w:sz w:val="32"/>
          <w:szCs w:val="32"/>
        </w:rPr>
      </w:pPr>
      <w:bookmarkStart w:id="198" w:name="_Toc23661"/>
      <w:r>
        <w:rPr>
          <w:rFonts w:hint="eastAsia" w:ascii="黑体" w:hAnsi="黑体" w:eastAsia="黑体" w:cs="黑体"/>
          <w:b w:val="0"/>
          <w:bCs w:val="0"/>
          <w:sz w:val="32"/>
          <w:szCs w:val="32"/>
        </w:rPr>
        <w:t>第六章 构建农业绿色产业体系</w:t>
      </w:r>
      <w:bookmarkEnd w:id="198"/>
      <w:bookmarkStart w:id="199" w:name="_Toc2855"/>
      <w:bookmarkStart w:id="200" w:name="_Toc7481"/>
      <w:bookmarkStart w:id="201" w:name="_Toc8630"/>
      <w:bookmarkStart w:id="202" w:name="_Toc2720"/>
      <w:bookmarkStart w:id="203" w:name="_Toc10203453"/>
      <w:bookmarkStart w:id="204" w:name="_Toc47634587"/>
    </w:p>
    <w:bookmarkEnd w:id="199"/>
    <w:bookmarkEnd w:id="200"/>
    <w:bookmarkEnd w:id="201"/>
    <w:bookmarkEnd w:id="202"/>
    <w:p>
      <w:pPr>
        <w:pStyle w:val="4"/>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黑体" w:hAnsi="黑体" w:eastAsia="黑体" w:cs="黑体"/>
          <w:sz w:val="32"/>
          <w:szCs w:val="32"/>
        </w:rPr>
      </w:pPr>
      <w:bookmarkStart w:id="205" w:name="_Toc64884476"/>
      <w:bookmarkStart w:id="206" w:name="_Toc32439"/>
      <w:bookmarkStart w:id="207" w:name="_Toc17633"/>
      <w:bookmarkStart w:id="208" w:name="_Toc9015"/>
      <w:bookmarkStart w:id="209" w:name="_Toc10203430"/>
      <w:bookmarkStart w:id="210" w:name="_Toc28070"/>
      <w:bookmarkStart w:id="211" w:name="_Toc581"/>
      <w:bookmarkStart w:id="212" w:name="_Toc47634563"/>
      <w:bookmarkStart w:id="213" w:name="_Toc64884471"/>
      <w:bookmarkStart w:id="214" w:name="_Toc5432"/>
      <w:bookmarkStart w:id="215" w:name="_Toc64884475"/>
      <w:bookmarkStart w:id="216" w:name="_Toc18407"/>
      <w:r>
        <w:rPr>
          <w:rFonts w:hint="eastAsia" w:ascii="楷体_GB2312" w:hAnsi="楷体_GB2312" w:eastAsia="楷体_GB2312" w:cs="楷体_GB2312"/>
          <w:sz w:val="32"/>
          <w:szCs w:val="32"/>
          <w:lang w:eastAsia="zh-CN"/>
        </w:rPr>
        <w:t>第一节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打造农业绿色低碳产业</w:t>
      </w:r>
      <w:bookmarkEnd w:id="205"/>
      <w:r>
        <w:rPr>
          <w:rFonts w:hint="eastAsia" w:ascii="楷体_GB2312" w:hAnsi="楷体_GB2312" w:eastAsia="楷体_GB2312" w:cs="楷体_GB2312"/>
          <w:sz w:val="32"/>
          <w:szCs w:val="32"/>
        </w:rPr>
        <w:t>链</w:t>
      </w:r>
      <w:bookmarkEnd w:id="206"/>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sz w:val="32"/>
          <w:szCs w:val="32"/>
        </w:rPr>
      </w:pPr>
      <w:r>
        <w:rPr>
          <w:rFonts w:hint="eastAsia" w:ascii="仿宋_GB2312" w:hAnsi="仿宋_GB2312" w:eastAsia="仿宋_GB2312" w:cs="仿宋_GB2312"/>
          <w:b w:val="0"/>
          <w:bCs/>
          <w:sz w:val="32"/>
          <w:szCs w:val="32"/>
        </w:rPr>
        <w:t>调优农业产业结构。</w:t>
      </w:r>
      <w:r>
        <w:rPr>
          <w:rFonts w:hint="eastAsia"/>
          <w:sz w:val="32"/>
          <w:szCs w:val="32"/>
        </w:rPr>
        <w:t>推进产业集聚整合，按照全产业链开发、全价值链提升的思路，调整优化特色优势产业结构。到2025年，粮食面积稳定在10</w:t>
      </w:r>
      <w:r>
        <w:rPr>
          <w:rFonts w:hint="eastAsia"/>
          <w:sz w:val="32"/>
          <w:szCs w:val="32"/>
          <w:lang w:val="en-US" w:eastAsia="zh-CN"/>
        </w:rPr>
        <w:t>20</w:t>
      </w:r>
      <w:r>
        <w:rPr>
          <w:rFonts w:hint="eastAsia"/>
          <w:sz w:val="32"/>
          <w:szCs w:val="32"/>
        </w:rPr>
        <w:t>万亩</w:t>
      </w:r>
      <w:r>
        <w:rPr>
          <w:rFonts w:hint="eastAsia"/>
          <w:sz w:val="32"/>
          <w:szCs w:val="32"/>
          <w:lang w:eastAsia="zh-CN"/>
        </w:rPr>
        <w:t>以上</w:t>
      </w:r>
      <w:r>
        <w:rPr>
          <w:rFonts w:hint="eastAsia"/>
          <w:sz w:val="32"/>
          <w:szCs w:val="32"/>
        </w:rPr>
        <w:t>，总产稳定在380万吨以上；奶牛存栏达到100万头，肉牛、滩羊饲养量分别达到260万头、1750万只，酿酒葡萄、瓜菜、枸杞面积分别达到100万亩、350万亩、70万亩，重点培育20家龙头酒庄，50家左右精品酒庄，葡萄酒</w:t>
      </w:r>
      <w:r>
        <w:rPr>
          <w:rFonts w:hint="eastAsia"/>
          <w:sz w:val="32"/>
          <w:szCs w:val="32"/>
          <w:lang w:eastAsia="zh-CN"/>
        </w:rPr>
        <w:t>产量</w:t>
      </w:r>
      <w:r>
        <w:rPr>
          <w:rFonts w:hint="eastAsia"/>
          <w:sz w:val="32"/>
          <w:szCs w:val="32"/>
        </w:rPr>
        <w:t>增加到3亿瓶以上。</w:t>
      </w:r>
      <w:r>
        <w:rPr>
          <w:rFonts w:hint="eastAsia"/>
          <w:color w:val="auto"/>
          <w:sz w:val="32"/>
          <w:szCs w:val="32"/>
        </w:rPr>
        <w:t>实施枸杞核心区整村整乡推进行动，</w:t>
      </w:r>
      <w:r>
        <w:rPr>
          <w:rFonts w:hint="eastAsia"/>
          <w:sz w:val="32"/>
          <w:szCs w:val="32"/>
        </w:rPr>
        <w:t>支持枸杞龙头企业创新发展模式，开发新产品，不断提升精深加工水平。把葡萄酒、奶</w:t>
      </w:r>
      <w:r>
        <w:rPr>
          <w:rFonts w:hint="eastAsia"/>
          <w:sz w:val="32"/>
          <w:szCs w:val="32"/>
          <w:lang w:eastAsia="zh-CN"/>
        </w:rPr>
        <w:t>产业</w:t>
      </w:r>
      <w:r>
        <w:rPr>
          <w:rFonts w:hint="eastAsia"/>
          <w:sz w:val="32"/>
          <w:szCs w:val="32"/>
        </w:rPr>
        <w:t>、肉牛和滩羊产业打造成3个1000亿元综合产值的产业，把枸杞产业打造成500亿元产值的产业。</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color w:val="auto"/>
          <w:sz w:val="32"/>
          <w:szCs w:val="32"/>
        </w:rPr>
      </w:pPr>
      <w:r>
        <w:rPr>
          <w:rFonts w:hint="eastAsia" w:ascii="仿宋_GB2312" w:hAnsi="仿宋_GB2312" w:eastAsia="仿宋_GB2312" w:cs="仿宋_GB2312"/>
          <w:b w:val="0"/>
          <w:bCs/>
          <w:sz w:val="32"/>
          <w:szCs w:val="32"/>
        </w:rPr>
        <w:t>发展</w:t>
      </w:r>
      <w:r>
        <w:rPr>
          <w:rFonts w:hint="eastAsia" w:ascii="仿宋_GB2312" w:hAnsi="仿宋_GB2312" w:eastAsia="仿宋_GB2312" w:cs="仿宋_GB2312"/>
          <w:b w:val="0"/>
          <w:bCs/>
          <w:sz w:val="32"/>
          <w:szCs w:val="32"/>
          <w:lang w:eastAsia="zh-CN"/>
        </w:rPr>
        <w:t>绿色食品产</w:t>
      </w:r>
      <w:r>
        <w:rPr>
          <w:rFonts w:hint="eastAsia" w:ascii="仿宋_GB2312" w:hAnsi="仿宋_GB2312" w:eastAsia="仿宋_GB2312" w:cs="仿宋_GB2312"/>
          <w:b w:val="0"/>
          <w:bCs/>
          <w:sz w:val="32"/>
          <w:szCs w:val="32"/>
        </w:rPr>
        <w:t>业。</w:t>
      </w:r>
      <w:r>
        <w:rPr>
          <w:rFonts w:hint="eastAsia"/>
          <w:color w:val="auto"/>
          <w:sz w:val="32"/>
          <w:szCs w:val="32"/>
        </w:rPr>
        <w:t>大力发展农产品精深加工，打造绿色食品加工优势区，推动产业链、价值链、创新链、供应链加快构建、同步提升，形成以绿色食品加工引领现代农业产业发展的新格局。重点打造粮油、畜禽肉、乳品、葡萄酒、枸杞、果蔬6类绿色食品加工优势区，推进生产与加工、产品与市场、企业与农户协调发展。到2025年，全区规模以上绿色食品产业加工能力取得突破性进展，从事绿色食品加工的国家级农业产业化龙头企业达到10家、自治区级农业产业化龙头企业达到50家，营业收入超过1亿元的绿色食品加工企业达到100家以上，累计认证各类绿色食品1000个，绿色食品质量和品牌公信力、认知度明显提升，综合产值达到1500亿元</w:t>
      </w:r>
      <w:r>
        <w:rPr>
          <w:rFonts w:hint="eastAsia"/>
          <w:color w:val="auto"/>
          <w:sz w:val="32"/>
          <w:szCs w:val="32"/>
          <w:lang w:eastAsia="zh-CN"/>
        </w:rPr>
        <w:t>。</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sz w:val="32"/>
          <w:szCs w:val="32"/>
        </w:rPr>
      </w:pPr>
      <w:r>
        <w:rPr>
          <w:rFonts w:hint="eastAsia" w:ascii="仿宋_GB2312" w:hAnsi="仿宋_GB2312" w:eastAsia="仿宋_GB2312" w:cs="仿宋_GB2312"/>
          <w:b w:val="0"/>
          <w:bCs w:val="0"/>
          <w:sz w:val="32"/>
          <w:szCs w:val="32"/>
        </w:rPr>
        <w:t>发展绿色农产品加工</w:t>
      </w:r>
      <w:r>
        <w:rPr>
          <w:rFonts w:hint="eastAsia" w:ascii="仿宋_GB2312" w:hAnsi="仿宋_GB2312" w:eastAsia="仿宋_GB2312" w:cs="仿宋_GB2312"/>
          <w:b w:val="0"/>
          <w:bCs w:val="0"/>
          <w:sz w:val="32"/>
          <w:szCs w:val="32"/>
          <w:lang w:eastAsia="zh-CN"/>
        </w:rPr>
        <w:t>基地</w:t>
      </w:r>
      <w:r>
        <w:rPr>
          <w:rFonts w:hint="eastAsia" w:ascii="仿宋_GB2312" w:hAnsi="仿宋_GB2312" w:eastAsia="仿宋_GB2312" w:cs="仿宋_GB2312"/>
          <w:b w:val="0"/>
          <w:bCs w:val="0"/>
          <w:sz w:val="32"/>
          <w:szCs w:val="32"/>
        </w:rPr>
        <w:t>。</w:t>
      </w:r>
      <w:r>
        <w:rPr>
          <w:rFonts w:hint="eastAsia"/>
          <w:sz w:val="32"/>
          <w:szCs w:val="32"/>
        </w:rPr>
        <w:t>积极引进和培育龙头企业，引导加工企业向种养示范园区、优势产区集中，推进农业生产、加工、流通一体化发展。加强与乳品龙头企业的战略合作，提升稀奶油、蛋白粉、婴幼儿配方奶粉等乳制品精深加工能力。支持企业建设肉牛屠宰加工生产线，推动肉牛屠宰加工、分割包装、检验检测、冷链物流等环节高质量发展。加快绿色高效、节能低碳的农产品精深加工技术集成应用，支持企业开发适合中餐饮食习惯和滩羊肉质特性的精细化分割工艺，加大熟肉、膳食产品、快餐食品、方便休闲食品等加工力度。依托瓜菜流通企业，建设一批脱水、制酱、腌制、榨汁加工示范基地，开发符合现代生活节奏的功能性饮品、即食健康果蔬类食品。到</w:t>
      </w:r>
      <w:r>
        <w:rPr>
          <w:rFonts w:hint="eastAsia"/>
          <w:color w:val="auto"/>
          <w:sz w:val="32"/>
          <w:szCs w:val="32"/>
        </w:rPr>
        <w:t>2025年，</w:t>
      </w:r>
      <w:r>
        <w:rPr>
          <w:rFonts w:hint="eastAsia"/>
          <w:sz w:val="32"/>
          <w:szCs w:val="32"/>
        </w:rPr>
        <w:t>农产品加工转化率达到80%</w:t>
      </w:r>
      <w:r>
        <w:rPr>
          <w:rFonts w:hint="eastAsia"/>
          <w:color w:val="auto"/>
          <w:sz w:val="32"/>
          <w:szCs w:val="32"/>
          <w:lang w:eastAsia="zh-CN"/>
        </w:rPr>
        <w:t>以上</w:t>
      </w:r>
      <w:r>
        <w:rPr>
          <w:rFonts w:hint="eastAsia"/>
          <w:color w:val="auto"/>
          <w:sz w:val="32"/>
          <w:szCs w:val="32"/>
        </w:rPr>
        <w:t>。</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ascii="黑体" w:hAnsi="黑体" w:eastAsia="黑体" w:cs="方正楷体_GBK"/>
          <w:bCs/>
          <w:sz w:val="32"/>
          <w:szCs w:val="32"/>
        </w:rPr>
      </w:pPr>
      <w:r>
        <w:rPr>
          <w:rFonts w:hint="eastAsia" w:ascii="仿宋_GB2312" w:hAnsi="仿宋_GB2312" w:eastAsia="仿宋_GB2312" w:cs="仿宋_GB2312"/>
          <w:b w:val="0"/>
          <w:bCs w:val="0"/>
          <w:sz w:val="32"/>
          <w:szCs w:val="32"/>
        </w:rPr>
        <w:t>健全绿色农产品流通体系。</w:t>
      </w:r>
      <w:r>
        <w:rPr>
          <w:rFonts w:hint="eastAsia"/>
          <w:sz w:val="32"/>
          <w:szCs w:val="32"/>
        </w:rPr>
        <w:t>实施农产品</w:t>
      </w:r>
      <w:r>
        <w:rPr>
          <w:rFonts w:hint="eastAsia"/>
          <w:sz w:val="32"/>
          <w:szCs w:val="32"/>
          <w:lang w:eastAsia="zh-CN"/>
        </w:rPr>
        <w:t>产地冷藏</w:t>
      </w:r>
      <w:r>
        <w:rPr>
          <w:rFonts w:hint="eastAsia"/>
          <w:sz w:val="32"/>
          <w:szCs w:val="32"/>
        </w:rPr>
        <w:t>保鲜设施建设项目</w:t>
      </w:r>
      <w:r>
        <w:rPr>
          <w:rFonts w:hint="eastAsia"/>
          <w:sz w:val="32"/>
          <w:szCs w:val="32"/>
          <w:lang w:eastAsia="zh-CN"/>
        </w:rPr>
        <w:t>。</w:t>
      </w:r>
      <w:r>
        <w:rPr>
          <w:rFonts w:hint="eastAsia"/>
          <w:sz w:val="32"/>
          <w:szCs w:val="32"/>
        </w:rPr>
        <w:t>支持银川建设自治区级农产品冷链物流中心，拓展中宁枸杞国际交易中心功能，在县（市、区）建设区域性骨干农产品仓储保鲜冷链物流中心</w:t>
      </w:r>
      <w:r>
        <w:rPr>
          <w:rFonts w:hint="eastAsia"/>
          <w:sz w:val="32"/>
          <w:szCs w:val="32"/>
          <w:lang w:eastAsia="zh-CN"/>
        </w:rPr>
        <w:t>。</w:t>
      </w:r>
      <w:r>
        <w:rPr>
          <w:rFonts w:hint="eastAsia"/>
          <w:sz w:val="32"/>
          <w:szCs w:val="32"/>
        </w:rPr>
        <w:t>依托新型农业生产经营主体，建设农产品产后贮藏、加工、集散、运输、配送等环节冷链供应链系统</w:t>
      </w:r>
      <w:r>
        <w:rPr>
          <w:rFonts w:hint="eastAsia"/>
          <w:sz w:val="32"/>
          <w:szCs w:val="32"/>
          <w:lang w:eastAsia="zh-CN"/>
        </w:rPr>
        <w:t>。</w:t>
      </w:r>
      <w:r>
        <w:rPr>
          <w:rFonts w:hint="eastAsia"/>
          <w:sz w:val="32"/>
          <w:szCs w:val="32"/>
        </w:rPr>
        <w:t>支持有条件的地区新建和改造农畜产品交易市场，降低农产品损耗和保持产品品质，加快补上冷链物流等短板，推进农产品流通现代化。加快发展农产品电子商务，充分利用</w:t>
      </w:r>
      <w:r>
        <w:rPr>
          <w:rFonts w:hint="eastAsia"/>
          <w:sz w:val="32"/>
          <w:szCs w:val="32"/>
          <w:lang w:eastAsia="zh-CN"/>
        </w:rPr>
        <w:t>全国</w:t>
      </w:r>
      <w:r>
        <w:rPr>
          <w:rFonts w:hint="eastAsia"/>
          <w:sz w:val="32"/>
          <w:szCs w:val="32"/>
        </w:rPr>
        <w:t>各</w:t>
      </w:r>
      <w:r>
        <w:rPr>
          <w:rFonts w:hint="eastAsia"/>
          <w:sz w:val="32"/>
          <w:szCs w:val="32"/>
          <w:lang w:eastAsia="zh-CN"/>
        </w:rPr>
        <w:t>类</w:t>
      </w:r>
      <w:r>
        <w:rPr>
          <w:rFonts w:hint="eastAsia"/>
          <w:sz w:val="32"/>
          <w:szCs w:val="32"/>
        </w:rPr>
        <w:t>展会、农产品电商</w:t>
      </w:r>
      <w:r>
        <w:rPr>
          <w:rFonts w:hint="eastAsia"/>
          <w:sz w:val="32"/>
          <w:szCs w:val="32"/>
          <w:lang w:eastAsia="zh-CN"/>
        </w:rPr>
        <w:t>平台</w:t>
      </w:r>
      <w:r>
        <w:rPr>
          <w:rFonts w:hint="eastAsia"/>
          <w:sz w:val="32"/>
          <w:szCs w:val="32"/>
        </w:rPr>
        <w:t>、“乡味宁夏”公众号等营销</w:t>
      </w:r>
      <w:r>
        <w:rPr>
          <w:rFonts w:hint="eastAsia"/>
          <w:sz w:val="32"/>
          <w:szCs w:val="32"/>
          <w:lang w:eastAsia="zh-CN"/>
        </w:rPr>
        <w:t>载体</w:t>
      </w:r>
      <w:r>
        <w:rPr>
          <w:rFonts w:hint="eastAsia"/>
          <w:sz w:val="32"/>
          <w:szCs w:val="32"/>
        </w:rPr>
        <w:t>，</w:t>
      </w:r>
      <w:r>
        <w:rPr>
          <w:rFonts w:hint="eastAsia"/>
          <w:sz w:val="32"/>
          <w:szCs w:val="32"/>
          <w:lang w:eastAsia="zh-CN"/>
        </w:rPr>
        <w:t>鼓励</w:t>
      </w:r>
      <w:r>
        <w:rPr>
          <w:rFonts w:hint="eastAsia"/>
          <w:sz w:val="32"/>
          <w:szCs w:val="32"/>
        </w:rPr>
        <w:t>开展</w:t>
      </w:r>
      <w:r>
        <w:rPr>
          <w:rFonts w:hint="eastAsia"/>
          <w:sz w:val="32"/>
          <w:szCs w:val="32"/>
          <w:lang w:eastAsia="zh-CN"/>
        </w:rPr>
        <w:t>产品推介、</w:t>
      </w:r>
      <w:r>
        <w:rPr>
          <w:rFonts w:hint="eastAsia"/>
          <w:sz w:val="32"/>
          <w:szCs w:val="32"/>
        </w:rPr>
        <w:t>视频直播、网红带货等活动，</w:t>
      </w:r>
      <w:r>
        <w:rPr>
          <w:rFonts w:hint="eastAsia"/>
          <w:sz w:val="32"/>
          <w:szCs w:val="32"/>
          <w:lang w:eastAsia="zh-CN"/>
        </w:rPr>
        <w:t>促进农产品产销对接，</w:t>
      </w:r>
      <w:r>
        <w:rPr>
          <w:rFonts w:hint="eastAsia"/>
          <w:sz w:val="32"/>
          <w:szCs w:val="32"/>
        </w:rPr>
        <w:t>提高农产品线上销售能力。</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cs="仿宋_GB2312"/>
          <w:sz w:val="32"/>
          <w:szCs w:val="32"/>
        </w:rPr>
      </w:pPr>
      <w:r>
        <w:rPr>
          <w:rFonts w:hint="eastAsia" w:ascii="仿宋_GB2312" w:hAnsi="仿宋_GB2312" w:eastAsia="仿宋_GB2312" w:cs="仿宋_GB2312"/>
          <w:b w:val="0"/>
          <w:bCs w:val="0"/>
          <w:sz w:val="32"/>
          <w:szCs w:val="32"/>
        </w:rPr>
        <w:t>推动农村新兴业态发展。</w:t>
      </w:r>
      <w:r>
        <w:rPr>
          <w:rFonts w:hint="eastAsia" w:ascii="仿宋_GB2312" w:hAnsi="仿宋_GB2312" w:eastAsia="仿宋_GB2312" w:cs="仿宋_GB2312"/>
          <w:kern w:val="0"/>
          <w:sz w:val="32"/>
          <w:szCs w:val="32"/>
          <w:lang w:val="en-US" w:eastAsia="zh-CN" w:bidi="ar-SA"/>
        </w:rPr>
        <w:t>积极拓展农业多种功能，实施休闲农业和乡村旅游改造提升工程，持续抓好农村一二三产融合示范区创建工作，培育一批中国美丽休闲乡村、特色小镇、精品农庄、旅游酒庄、乡村民宿和康养基地，打造一批休闲观光农业精品线路，推动农业与文化、旅游、教育、康养、服务等现代产业融合发展</w:t>
      </w:r>
      <w:r>
        <w:rPr>
          <w:rFonts w:hint="eastAsia" w:ascii="仿宋_GB2312" w:hAnsi="仿宋_GB2312" w:cs="仿宋_GB2312"/>
          <w:kern w:val="0"/>
          <w:sz w:val="32"/>
          <w:szCs w:val="32"/>
          <w:lang w:val="en-US" w:eastAsia="zh-CN" w:bidi="ar-SA"/>
        </w:rPr>
        <w:t>。</w:t>
      </w:r>
      <w:r>
        <w:rPr>
          <w:rFonts w:hint="eastAsia" w:ascii="仿宋_GB2312" w:hAnsi="仿宋_GB2312" w:eastAsia="仿宋_GB2312" w:cs="仿宋_GB2312"/>
          <w:kern w:val="0"/>
          <w:sz w:val="32"/>
          <w:szCs w:val="32"/>
          <w:lang w:val="en-US" w:eastAsia="zh-CN" w:bidi="ar-SA"/>
        </w:rPr>
        <w:t>实施“互联网+”农产品出村进城工程，利用</w:t>
      </w:r>
      <w:r>
        <w:rPr>
          <w:rFonts w:hint="default" w:ascii="Times New Roman" w:hAnsi="Times New Roman" w:eastAsia="仿宋_GB2312" w:cs="Times New Roman"/>
          <w:kern w:val="0"/>
          <w:sz w:val="32"/>
          <w:szCs w:val="32"/>
          <w:lang w:val="en-US" w:eastAsia="zh-CN" w:bidi="ar-SA"/>
        </w:rPr>
        <w:t>5</w:t>
      </w:r>
      <w:r>
        <w:rPr>
          <w:rFonts w:hint="eastAsia" w:cs="Times New Roman"/>
          <w:kern w:val="0"/>
          <w:sz w:val="32"/>
          <w:szCs w:val="32"/>
          <w:lang w:val="en-US" w:eastAsia="zh-CN" w:bidi="ar-SA"/>
        </w:rPr>
        <w:t>G</w:t>
      </w:r>
      <w:r>
        <w:rPr>
          <w:rFonts w:hint="eastAsia" w:ascii="仿宋_GB2312" w:hAnsi="仿宋_GB2312" w:eastAsia="仿宋_GB2312" w:cs="仿宋_GB2312"/>
          <w:kern w:val="0"/>
          <w:sz w:val="32"/>
          <w:szCs w:val="32"/>
          <w:lang w:val="en-US" w:eastAsia="zh-CN" w:bidi="ar-SA"/>
        </w:rPr>
        <w:t>、云计算、物联网、区块链等技术，加快网络体系、前端仓库和物流设施建设，把现代信息技术引入农业产加销各个环节，培育农村电商实体及网络直播等</w:t>
      </w:r>
      <w:r>
        <w:rPr>
          <w:rFonts w:hint="eastAsia" w:ascii="仿宋_GB2312" w:hAnsi="仿宋_GB2312" w:cs="仿宋_GB2312"/>
          <w:kern w:val="0"/>
          <w:sz w:val="32"/>
          <w:szCs w:val="32"/>
          <w:lang w:val="en-US" w:eastAsia="zh-CN" w:bidi="ar-SA"/>
        </w:rPr>
        <w:t>新</w:t>
      </w:r>
      <w:r>
        <w:rPr>
          <w:rFonts w:hint="eastAsia" w:ascii="仿宋_GB2312" w:hAnsi="仿宋_GB2312" w:eastAsia="仿宋_GB2312" w:cs="仿宋_GB2312"/>
          <w:kern w:val="0"/>
          <w:sz w:val="32"/>
          <w:szCs w:val="32"/>
          <w:lang w:val="en-US" w:eastAsia="zh-CN" w:bidi="ar-SA"/>
        </w:rPr>
        <w:t>业态。到</w:t>
      </w:r>
      <w:r>
        <w:rPr>
          <w:rFonts w:hint="default" w:ascii="Times New Roman" w:hAnsi="Times New Roman" w:eastAsia="仿宋_GB2312" w:cs="Times New Roman"/>
          <w:kern w:val="0"/>
          <w:sz w:val="32"/>
          <w:szCs w:val="32"/>
          <w:lang w:val="en-US" w:eastAsia="zh-CN" w:bidi="ar-SA"/>
        </w:rPr>
        <w:t>2025</w:t>
      </w:r>
      <w:r>
        <w:rPr>
          <w:rFonts w:hint="eastAsia" w:ascii="仿宋_GB2312" w:hAnsi="仿宋_GB2312" w:eastAsia="仿宋_GB2312" w:cs="仿宋_GB2312"/>
          <w:kern w:val="0"/>
          <w:sz w:val="32"/>
          <w:szCs w:val="32"/>
          <w:lang w:val="en-US" w:eastAsia="zh-CN" w:bidi="ar-SA"/>
        </w:rPr>
        <w:t>年，新增休闲农庄</w:t>
      </w:r>
      <w:r>
        <w:rPr>
          <w:rFonts w:hint="default" w:ascii="Times New Roman" w:hAnsi="Times New Roman" w:eastAsia="仿宋_GB2312" w:cs="Times New Roman"/>
          <w:kern w:val="0"/>
          <w:sz w:val="32"/>
          <w:szCs w:val="32"/>
          <w:lang w:val="en-US" w:eastAsia="zh-CN" w:bidi="ar-SA"/>
        </w:rPr>
        <w:t>100</w:t>
      </w:r>
      <w:r>
        <w:rPr>
          <w:rFonts w:hint="eastAsia" w:ascii="仿宋_GB2312" w:hAnsi="仿宋_GB2312" w:eastAsia="仿宋_GB2312" w:cs="仿宋_GB2312"/>
          <w:kern w:val="0"/>
          <w:sz w:val="32"/>
          <w:szCs w:val="32"/>
          <w:lang w:val="en-US" w:eastAsia="zh-CN" w:bidi="ar-SA"/>
        </w:rPr>
        <w:t>家。</w:t>
      </w:r>
    </w:p>
    <w:bookmarkEnd w:id="207"/>
    <w:bookmarkEnd w:id="208"/>
    <w:bookmarkEnd w:id="209"/>
    <w:bookmarkEnd w:id="210"/>
    <w:bookmarkEnd w:id="211"/>
    <w:bookmarkEnd w:id="212"/>
    <w:bookmarkEnd w:id="213"/>
    <w:bookmarkEnd w:id="214"/>
    <w:p>
      <w:pPr>
        <w:pStyle w:val="4"/>
        <w:keepNext/>
        <w:keepLines/>
        <w:pageBreakBefore w:val="0"/>
        <w:widowControl w:val="0"/>
        <w:kinsoku/>
        <w:wordWrap/>
        <w:overflowPunct/>
        <w:topLinePunct w:val="0"/>
        <w:autoSpaceDE/>
        <w:autoSpaceDN/>
        <w:bidi w:val="0"/>
        <w:adjustRightInd/>
        <w:snapToGrid/>
        <w:spacing w:before="260" w:after="260" w:line="240" w:lineRule="auto"/>
        <w:ind w:left="0" w:leftChars="0" w:right="0" w:rightChars="0" w:firstLine="0" w:firstLineChars="0"/>
        <w:jc w:val="center"/>
        <w:textAlignment w:val="auto"/>
        <w:outlineLvl w:val="1"/>
        <w:rPr>
          <w:rFonts w:hint="eastAsia" w:ascii="楷体_GB2312" w:hAnsi="楷体_GB2312" w:eastAsia="楷体_GB2312" w:cs="楷体_GB2312"/>
          <w:sz w:val="32"/>
          <w:szCs w:val="32"/>
        </w:rPr>
      </w:pPr>
      <w:bookmarkStart w:id="217" w:name="_Toc6824"/>
      <w:r>
        <w:rPr>
          <w:rFonts w:hint="eastAsia" w:ascii="楷体_GB2312" w:hAnsi="楷体_GB2312" w:eastAsia="楷体_GB2312" w:cs="楷体_GB2312"/>
          <w:sz w:val="32"/>
          <w:szCs w:val="32"/>
          <w:lang w:eastAsia="zh-CN"/>
        </w:rPr>
        <w:t>第二节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推进产业集聚循环发展</w:t>
      </w:r>
      <w:bookmarkEnd w:id="217"/>
    </w:p>
    <w:p>
      <w:pPr>
        <w:pStyle w:val="32"/>
        <w:spacing w:line="560" w:lineRule="exact"/>
        <w:ind w:firstLine="562"/>
        <w:rPr>
          <w:sz w:val="32"/>
          <w:szCs w:val="32"/>
        </w:rPr>
      </w:pPr>
      <w:bookmarkStart w:id="218" w:name="_Toc10203431"/>
      <w:r>
        <w:rPr>
          <w:rFonts w:hint="eastAsia" w:ascii="仿宋_GB2312" w:hAnsi="仿宋_GB2312" w:eastAsia="仿宋_GB2312" w:cs="仿宋_GB2312"/>
          <w:b w:val="0"/>
          <w:bCs/>
          <w:sz w:val="32"/>
          <w:szCs w:val="32"/>
        </w:rPr>
        <w:t>优化产业区域布局。</w:t>
      </w:r>
      <w:r>
        <w:rPr>
          <w:rFonts w:hint="eastAsia"/>
          <w:sz w:val="32"/>
          <w:szCs w:val="32"/>
        </w:rPr>
        <w:t>打造北部现代农业示范区。坚持绿色发展、率先发展，发挥黄河自流灌溉和贺兰山生态屏障的自然优势，以银川平原、卫宁平原和贺兰山东麓保护区为重点区域，在保护耕地、合理利用水资源的前提下，建设优质粮食、奶产业、瓜菜、枸杞产业带，打造贺兰山东麓“酿酒葡萄产业带”。积极推进规模化、集约化、标准化、高效化生产经营，一二三产业融合发展，加快构建绿色高效、优势突出的现代农业体系。打造中部高效节水农业示范区。坚持生态优先、修复固本，立足中部地区干旱缺水、土地沙化、生态脆弱等问题，突出水资源合理利用、生态保护和水土保持，大力发展高效节水农业，推广集雨补灌、覆膜保墒等旱作高效节水技术，做大做强以肉牛、滩羊为主的优质牛羊肉产业，因地制宜发展枸杞、葡萄、黄花菜、红枣等特色产业，形成以肉牛、滩羊养殖，特色种植为主的高效节水农业体系。打造南部生态农业示范区。坚持涵水养水、增加绿量</w:t>
      </w:r>
      <w:r>
        <w:rPr>
          <w:rFonts w:hint="eastAsia"/>
          <w:sz w:val="32"/>
          <w:szCs w:val="32"/>
          <w:lang w:eastAsia="zh-CN"/>
        </w:rPr>
        <w:t>，</w:t>
      </w:r>
      <w:r>
        <w:rPr>
          <w:rFonts w:hint="eastAsia"/>
          <w:sz w:val="32"/>
          <w:szCs w:val="32"/>
        </w:rPr>
        <w:t>着眼增强六盘山天然水塔、生态绿岛功能，突出生态保护和水源涵养，加强小流域综合治理，保护森林资源和生物多样性，提升水土保持能力，</w:t>
      </w:r>
      <w:bookmarkEnd w:id="218"/>
      <w:bookmarkStart w:id="219" w:name="bookmark12"/>
      <w:r>
        <w:rPr>
          <w:rFonts w:hint="eastAsia"/>
          <w:sz w:val="32"/>
          <w:szCs w:val="32"/>
        </w:rPr>
        <w:t>形成以肉牛、冷凉蔬菜、小杂粮为主的较为完善的旱作生态农业体系。</w:t>
      </w:r>
      <w:bookmarkEnd w:id="219"/>
    </w:p>
    <w:p>
      <w:pPr>
        <w:pStyle w:val="32"/>
        <w:spacing w:line="560" w:lineRule="exact"/>
        <w:ind w:firstLine="562"/>
        <w:rPr>
          <w:sz w:val="32"/>
          <w:szCs w:val="32"/>
        </w:rPr>
      </w:pPr>
      <w:r>
        <w:rPr>
          <w:rFonts w:hint="eastAsia" w:ascii="仿宋_GB2312" w:hAnsi="仿宋_GB2312" w:eastAsia="仿宋_GB2312" w:cs="仿宋_GB2312"/>
          <w:b w:val="0"/>
          <w:bCs/>
          <w:sz w:val="32"/>
          <w:szCs w:val="32"/>
        </w:rPr>
        <w:t>推动产业融合发展。</w:t>
      </w:r>
      <w:r>
        <w:rPr>
          <w:rFonts w:hint="eastAsia"/>
          <w:sz w:val="32"/>
          <w:szCs w:val="32"/>
        </w:rPr>
        <w:t>围绕枸杞、葡萄酒、奶产业、肉牛和滩羊、绿色食品</w:t>
      </w:r>
      <w:r>
        <w:rPr>
          <w:rFonts w:hint="eastAsia"/>
          <w:sz w:val="32"/>
          <w:szCs w:val="32"/>
          <w:lang w:eastAsia="zh-CN"/>
        </w:rPr>
        <w:t>等</w:t>
      </w:r>
      <w:r>
        <w:rPr>
          <w:rFonts w:hint="eastAsia"/>
          <w:sz w:val="32"/>
          <w:szCs w:val="32"/>
        </w:rPr>
        <w:t>重点产业，以绿色为导向，推动与食品加工业、生产服务业和信息技术融合发展，建设一批</w:t>
      </w:r>
      <w:r>
        <w:rPr>
          <w:rFonts w:hint="eastAsia"/>
          <w:sz w:val="32"/>
          <w:szCs w:val="32"/>
          <w:lang w:eastAsia="zh-CN"/>
        </w:rPr>
        <w:t>现代</w:t>
      </w:r>
      <w:r>
        <w:rPr>
          <w:rFonts w:hint="eastAsia"/>
          <w:sz w:val="32"/>
          <w:szCs w:val="32"/>
        </w:rPr>
        <w:t>农业产业园区、</w:t>
      </w:r>
      <w:r>
        <w:rPr>
          <w:rFonts w:hint="eastAsia"/>
          <w:sz w:val="32"/>
          <w:szCs w:val="32"/>
          <w:lang w:eastAsia="zh-CN"/>
        </w:rPr>
        <w:t>农业</w:t>
      </w:r>
      <w:r>
        <w:rPr>
          <w:rFonts w:hint="eastAsia"/>
          <w:sz w:val="32"/>
          <w:szCs w:val="32"/>
        </w:rPr>
        <w:t>产业强镇、</w:t>
      </w:r>
      <w:r>
        <w:rPr>
          <w:rFonts w:hint="eastAsia"/>
          <w:sz w:val="32"/>
          <w:szCs w:val="32"/>
          <w:lang w:eastAsia="zh-CN"/>
        </w:rPr>
        <w:t>优势特色</w:t>
      </w:r>
      <w:r>
        <w:rPr>
          <w:rFonts w:hint="eastAsia"/>
          <w:sz w:val="32"/>
          <w:szCs w:val="32"/>
        </w:rPr>
        <w:t>产业集群带动农村一二三产业绿色升级。推进要素集聚，统筹产地、销区和园区布局，引导资本、科技、人才、土地等要素向农产品主产区、中心乡镇和物流节点、重点专业村聚集。促进产业格局由分散向集中、发展方式由粗放向集约、产业链条由单一向复合转变。推进企业集中，促进农产品加工与企业对接，向农产品加工园区集中，再造流通体系，降低交易成本，促进生产与加工、产品与市场、企业与农户协调发展。推进功能集合，合理布局种养、加工等功能，完善绿色加工物流、清洁能源供应、废弃物资源化利用等基础设施，打造绿色产业链、供应链，推动形成功能齐全、布局合理的绿色发展格局。</w:t>
      </w:r>
    </w:p>
    <w:p>
      <w:pPr>
        <w:pStyle w:val="32"/>
        <w:spacing w:line="560" w:lineRule="exact"/>
        <w:ind w:firstLine="562"/>
        <w:rPr>
          <w:sz w:val="32"/>
          <w:szCs w:val="32"/>
        </w:rPr>
      </w:pPr>
      <w:r>
        <w:rPr>
          <w:rFonts w:hint="eastAsia" w:ascii="仿宋_GB2312" w:hAnsi="仿宋_GB2312" w:eastAsia="仿宋_GB2312" w:cs="仿宋_GB2312"/>
          <w:b w:val="0"/>
          <w:bCs/>
          <w:sz w:val="32"/>
          <w:szCs w:val="32"/>
        </w:rPr>
        <w:t>推动低碳循环发展。</w:t>
      </w:r>
      <w:r>
        <w:rPr>
          <w:rFonts w:hint="eastAsia"/>
          <w:sz w:val="32"/>
          <w:szCs w:val="32"/>
        </w:rPr>
        <w:t>推动企业循环式生产、产业循环式组合，加快培育产业链融合共生、资源能源高效利用的绿色低碳循环产业体系，形成新的经济增长源。发展生态循环农业，合理选择农业循环经济发展模式，推动多种形式的产业循环链接和集成发展，促进农业废弃物资源化、产业化、高值化利用。发展林业循环经济，加快建立植物生产、动物转化、微生物还原的种养循环体系，打造一批生态农场样板。推动农业园区低碳循环，推动现代农业产业园区</w:t>
      </w:r>
      <w:r>
        <w:rPr>
          <w:rFonts w:hint="eastAsia"/>
          <w:sz w:val="32"/>
          <w:szCs w:val="32"/>
          <w:lang w:eastAsia="zh-CN"/>
        </w:rPr>
        <w:t>和优势特色</w:t>
      </w:r>
      <w:r>
        <w:rPr>
          <w:rFonts w:hint="eastAsia"/>
          <w:sz w:val="32"/>
          <w:szCs w:val="32"/>
        </w:rPr>
        <w:t>产业集群循环化改造，建设一批具有引领作用的循环经济园区和基地，完善园区循环农业产业链条，实现资源循环利用，废弃物集中安全处置，垃圾污水减量排放，形成种养加销一体、农林牧渔结合、一二三产业联动发展的现代复合型经济产业体系。</w:t>
      </w:r>
    </w:p>
    <w:p>
      <w:pPr>
        <w:pStyle w:val="4"/>
        <w:keepNext/>
        <w:keepLines/>
        <w:pageBreakBefore w:val="0"/>
        <w:widowControl w:val="0"/>
        <w:kinsoku/>
        <w:wordWrap/>
        <w:overflowPunct/>
        <w:topLinePunct w:val="0"/>
        <w:autoSpaceDE/>
        <w:autoSpaceDN/>
        <w:bidi w:val="0"/>
        <w:adjustRightInd/>
        <w:snapToGrid/>
        <w:spacing w:before="260" w:after="260" w:line="240" w:lineRule="auto"/>
        <w:ind w:left="0" w:leftChars="0" w:right="0" w:rightChars="0" w:firstLine="0" w:firstLineChars="0"/>
        <w:jc w:val="center"/>
        <w:textAlignment w:val="auto"/>
        <w:outlineLvl w:val="1"/>
        <w:rPr>
          <w:rFonts w:hint="eastAsia" w:ascii="楷体_GB2312" w:hAnsi="楷体_GB2312" w:eastAsia="楷体_GB2312" w:cs="楷体_GB2312"/>
          <w:sz w:val="32"/>
          <w:szCs w:val="32"/>
        </w:rPr>
      </w:pPr>
      <w:bookmarkStart w:id="220" w:name="_Toc22941"/>
      <w:r>
        <w:rPr>
          <w:rFonts w:hint="eastAsia" w:ascii="楷体_GB2312" w:hAnsi="楷体_GB2312" w:eastAsia="楷体_GB2312" w:cs="楷体_GB2312"/>
          <w:sz w:val="32"/>
          <w:szCs w:val="32"/>
          <w:lang w:eastAsia="zh-CN"/>
        </w:rPr>
        <w:t>第三节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实施农业生产“三品一标”行动</w:t>
      </w:r>
      <w:bookmarkEnd w:id="220"/>
    </w:p>
    <w:p>
      <w:pPr>
        <w:pStyle w:val="32"/>
        <w:spacing w:line="560" w:lineRule="exact"/>
        <w:ind w:firstLine="562"/>
        <w:rPr>
          <w:sz w:val="32"/>
          <w:szCs w:val="32"/>
        </w:rPr>
      </w:pPr>
      <w:r>
        <w:rPr>
          <w:rFonts w:hint="eastAsia" w:ascii="仿宋_GB2312" w:hAnsi="仿宋_GB2312" w:eastAsia="仿宋_GB2312" w:cs="仿宋_GB2312"/>
          <w:b w:val="0"/>
          <w:bCs/>
          <w:sz w:val="32"/>
          <w:szCs w:val="32"/>
        </w:rPr>
        <w:t>推进品种培优。</w:t>
      </w:r>
      <w:r>
        <w:rPr>
          <w:rFonts w:hint="eastAsia"/>
          <w:sz w:val="32"/>
          <w:szCs w:val="32"/>
        </w:rPr>
        <w:t>加强农业种质资源保护开发利用，推进农业种质资源普查收集。实施农业良种联合攻关，继续实施农业育种专项，开展核心种群关键技术攻关。促进育繁推一体化发展，加快青铜峡杂交玉米制种大县和西吉马铃薯、平罗蔬菜、盐池杂粮杂豆国家区域性良种繁育基地建设，巩固提升海南宁夏南繁科研基地。加快畜禽核心育种场和良种繁育基地建设，保护盐池滩羊、中卫山羊、静原鸡</w:t>
      </w:r>
      <w:r>
        <w:rPr>
          <w:rFonts w:hint="eastAsia"/>
          <w:sz w:val="32"/>
          <w:szCs w:val="32"/>
          <w:lang w:eastAsia="zh-CN"/>
        </w:rPr>
        <w:t>、黄河鲶</w:t>
      </w:r>
      <w:r>
        <w:rPr>
          <w:rFonts w:hint="eastAsia"/>
          <w:sz w:val="32"/>
          <w:szCs w:val="32"/>
        </w:rPr>
        <w:t>等地方优质品种，建设中国（宁夏）良种牛繁育中心，加快滩羊“核心群、选育群、扩繁群”三级良种繁育体系建设。加快良种选育推广，搭建农作物品种展示示范平台，加快推进新品种更新换代。到2025年，打造农作物新品种展示示范基地30个，全区主要农作物良种覆盖率达到98%以上。</w:t>
      </w:r>
    </w:p>
    <w:p>
      <w:pPr>
        <w:pStyle w:val="32"/>
        <w:spacing w:line="560" w:lineRule="exact"/>
        <w:ind w:firstLine="562"/>
        <w:rPr>
          <w:sz w:val="32"/>
          <w:szCs w:val="32"/>
        </w:rPr>
      </w:pPr>
      <w:r>
        <w:rPr>
          <w:rFonts w:hint="eastAsia" w:ascii="仿宋_GB2312" w:hAnsi="仿宋_GB2312" w:eastAsia="仿宋_GB2312" w:cs="仿宋_GB2312"/>
          <w:b w:val="0"/>
          <w:bCs w:val="0"/>
          <w:sz w:val="32"/>
          <w:szCs w:val="32"/>
        </w:rPr>
        <w:t>推进品质提升。</w:t>
      </w:r>
      <w:r>
        <w:rPr>
          <w:rFonts w:hint="eastAsia"/>
          <w:sz w:val="32"/>
          <w:szCs w:val="32"/>
        </w:rPr>
        <w:t>加快优质粮食基地建设，小麦重点推广宁春4号等强筋优质品种，玉米重点推广先玉1225等粮饲兼用</w:t>
      </w:r>
      <w:r>
        <w:rPr>
          <w:rFonts w:hint="eastAsia"/>
          <w:sz w:val="32"/>
          <w:szCs w:val="32"/>
          <w:lang w:eastAsia="zh-CN"/>
        </w:rPr>
        <w:t>型</w:t>
      </w:r>
      <w:r>
        <w:rPr>
          <w:rFonts w:hint="eastAsia"/>
          <w:sz w:val="32"/>
          <w:szCs w:val="32"/>
        </w:rPr>
        <w:t>品种，水稻以宁粳43等国标一级优质品种为主，提升粮食营养和品质。推广一批优质奶牛、肉牛、禽类、水产类品种和枸杞、酿酒葡萄、优质蔬菜、道地中药材等品种。集成推广绿色生产技术模式，净化农业产地环境，推广绿色农业投入品，促进优质农产品生产。建立农产品品质评价标准体系，分行业、分品种筛选农产品品质核心指标，推动农产品分等分级和包装标识。</w:t>
      </w:r>
    </w:p>
    <w:p>
      <w:pPr>
        <w:pStyle w:val="32"/>
        <w:spacing w:line="560" w:lineRule="exact"/>
        <w:ind w:firstLine="562"/>
        <w:rPr>
          <w:sz w:val="32"/>
          <w:szCs w:val="32"/>
        </w:rPr>
      </w:pPr>
      <w:r>
        <w:rPr>
          <w:rFonts w:hint="eastAsia" w:ascii="仿宋_GB2312" w:hAnsi="仿宋_GB2312" w:eastAsia="仿宋_GB2312" w:cs="仿宋_GB2312"/>
          <w:b w:val="0"/>
          <w:bCs w:val="0"/>
          <w:sz w:val="32"/>
          <w:szCs w:val="32"/>
        </w:rPr>
        <w:t>推进品牌打造。</w:t>
      </w:r>
      <w:r>
        <w:rPr>
          <w:rFonts w:hint="eastAsia"/>
          <w:sz w:val="32"/>
          <w:szCs w:val="32"/>
        </w:rPr>
        <w:t>实施农业品牌提升行动，</w:t>
      </w:r>
      <w:r>
        <w:rPr>
          <w:rFonts w:hint="eastAsia" w:ascii="仿宋_GB2312" w:hAnsi="仿宋_GB2312" w:cs="仿宋_GB2312"/>
          <w:sz w:val="32"/>
          <w:szCs w:val="32"/>
          <w:lang w:eastAsia="zh-CN"/>
        </w:rPr>
        <w:t>开展绿色有机农产品认证保护工作。</w:t>
      </w:r>
      <w:r>
        <w:rPr>
          <w:rFonts w:hint="eastAsia"/>
          <w:sz w:val="32"/>
          <w:szCs w:val="32"/>
        </w:rPr>
        <w:t>发挥</w:t>
      </w:r>
      <w:r>
        <w:rPr>
          <w:rFonts w:hint="eastAsia"/>
          <w:sz w:val="32"/>
          <w:szCs w:val="32"/>
          <w:lang w:eastAsia="zh-CN"/>
        </w:rPr>
        <w:t>资源</w:t>
      </w:r>
      <w:r>
        <w:rPr>
          <w:rFonts w:hint="eastAsia"/>
          <w:sz w:val="32"/>
          <w:szCs w:val="32"/>
        </w:rPr>
        <w:t>优势，聚焦</w:t>
      </w:r>
      <w:r>
        <w:rPr>
          <w:rFonts w:hint="eastAsia"/>
          <w:sz w:val="32"/>
          <w:szCs w:val="32"/>
          <w:lang w:eastAsia="zh-CN"/>
        </w:rPr>
        <w:t>重点产业，</w:t>
      </w:r>
      <w:r>
        <w:rPr>
          <w:rFonts w:hint="eastAsia"/>
          <w:sz w:val="32"/>
          <w:szCs w:val="32"/>
        </w:rPr>
        <w:t>加快创建“中国特色农产品优势区”</w:t>
      </w:r>
      <w:r>
        <w:rPr>
          <w:rFonts w:hint="eastAsia"/>
          <w:sz w:val="32"/>
          <w:szCs w:val="32"/>
          <w:lang w:eastAsia="zh-CN"/>
        </w:rPr>
        <w:t>，</w:t>
      </w:r>
      <w:r>
        <w:rPr>
          <w:rFonts w:hint="eastAsia"/>
          <w:sz w:val="32"/>
          <w:szCs w:val="32"/>
        </w:rPr>
        <w:t>做强区域公用品牌，做大知名企业品牌，做优特色农产品品牌</w:t>
      </w:r>
      <w:r>
        <w:rPr>
          <w:rFonts w:hint="eastAsia"/>
          <w:sz w:val="32"/>
          <w:szCs w:val="32"/>
          <w:lang w:eastAsia="zh-CN"/>
        </w:rPr>
        <w:t>。</w:t>
      </w:r>
      <w:r>
        <w:rPr>
          <w:rFonts w:hint="eastAsia"/>
          <w:sz w:val="32"/>
          <w:szCs w:val="32"/>
        </w:rPr>
        <w:t>开展品牌宣传推介活动，健全农业品牌目录制度，实行动态管理，充分挖掘和丰富农业品牌文化内涵，利用各种媒体讲好农业品牌故事，增强农业品牌知名度、美誉度和影响力。到2025年，做强13个农业区域公用品牌，做大</w:t>
      </w:r>
      <w:r>
        <w:rPr>
          <w:rFonts w:hint="eastAsia"/>
          <w:sz w:val="32"/>
          <w:szCs w:val="32"/>
          <w:lang w:val="en-US" w:eastAsia="zh-CN"/>
        </w:rPr>
        <w:t>4</w:t>
      </w:r>
      <w:r>
        <w:rPr>
          <w:rFonts w:hint="eastAsia"/>
          <w:sz w:val="32"/>
          <w:szCs w:val="32"/>
        </w:rPr>
        <w:t>0个知名企业品牌，做优</w:t>
      </w:r>
      <w:r>
        <w:rPr>
          <w:rFonts w:hint="eastAsia"/>
          <w:sz w:val="32"/>
          <w:szCs w:val="32"/>
          <w:lang w:val="en-US" w:eastAsia="zh-CN"/>
        </w:rPr>
        <w:t>6</w:t>
      </w:r>
      <w:r>
        <w:rPr>
          <w:rFonts w:hint="eastAsia"/>
          <w:sz w:val="32"/>
          <w:szCs w:val="32"/>
        </w:rPr>
        <w:t>0个特色农产品品牌。</w:t>
      </w:r>
    </w:p>
    <w:p>
      <w:pPr>
        <w:pStyle w:val="32"/>
        <w:spacing w:line="560" w:lineRule="exact"/>
        <w:ind w:firstLine="562"/>
        <w:rPr>
          <w:rFonts w:hint="eastAsia" w:ascii="仿宋_GB2312" w:hAnsi="仿宋_GB2312" w:eastAsia="仿宋_GB2312" w:cs="仿宋_GB2312"/>
          <w:spacing w:val="-6"/>
          <w:sz w:val="32"/>
          <w:szCs w:val="32"/>
          <w:lang w:val="en-US" w:eastAsia="zh-CN"/>
        </w:rPr>
      </w:pPr>
      <w:r>
        <w:rPr>
          <w:rFonts w:hint="eastAsia" w:ascii="仿宋_GB2312" w:hAnsi="仿宋_GB2312" w:eastAsia="仿宋_GB2312" w:cs="仿宋_GB2312"/>
          <w:b w:val="0"/>
          <w:bCs w:val="0"/>
          <w:sz w:val="32"/>
          <w:szCs w:val="32"/>
        </w:rPr>
        <w:t>推进标准化生产。</w:t>
      </w:r>
      <w:bookmarkStart w:id="221" w:name="OLE_LINK6"/>
      <w:r>
        <w:rPr>
          <w:rFonts w:hint="eastAsia" w:ascii="仿宋_GB2312" w:hAnsi="仿宋_GB2312" w:eastAsia="仿宋_GB2312" w:cs="仿宋_GB2312"/>
          <w:spacing w:val="-6"/>
          <w:sz w:val="32"/>
          <w:szCs w:val="32"/>
          <w:lang w:eastAsia="zh-CN"/>
        </w:rPr>
        <w:t>建立全产业链农业绿色发展标准体系，加强产地环境、投入品管控、农兽药残留、产品加工、储运保鲜、分等分级</w:t>
      </w:r>
      <w:r>
        <w:rPr>
          <w:rFonts w:hint="eastAsia" w:ascii="仿宋_GB2312" w:hAnsi="仿宋_GB2312" w:cs="仿宋_GB2312"/>
          <w:spacing w:val="-6"/>
          <w:sz w:val="32"/>
          <w:szCs w:val="32"/>
          <w:lang w:eastAsia="zh-CN"/>
        </w:rPr>
        <w:t>等</w:t>
      </w:r>
      <w:r>
        <w:rPr>
          <w:rFonts w:hint="eastAsia" w:ascii="仿宋_GB2312" w:hAnsi="仿宋_GB2312" w:eastAsia="仿宋_GB2312" w:cs="仿宋_GB2312"/>
          <w:spacing w:val="-6"/>
          <w:sz w:val="32"/>
          <w:szCs w:val="32"/>
          <w:lang w:eastAsia="zh-CN"/>
        </w:rPr>
        <w:t>关键环节的标准协同配套</w:t>
      </w:r>
      <w:r>
        <w:rPr>
          <w:rFonts w:hint="eastAsia" w:ascii="仿宋_GB2312" w:hAnsi="仿宋_GB2312" w:eastAsia="仿宋_GB2312" w:cs="仿宋_GB2312"/>
          <w:spacing w:val="-6"/>
          <w:sz w:val="32"/>
          <w:szCs w:val="32"/>
          <w:lang w:val="en-US" w:eastAsia="zh-CN"/>
        </w:rPr>
        <w:t>。引进转化国外先进农业标准，支持企业申请国际通行的农产品认证，加快特色优势农产品品牌和出口基地建设。开展全产业链标准化试点，鼓励采用绿色生产技术和全程质量控制技术。实施农业标准化提升计划，推动新型农业经营主体按标生产，发挥示范推广作用，扩大农业标准化覆盖面。到</w:t>
      </w:r>
      <w:r>
        <w:rPr>
          <w:rFonts w:hint="eastAsia" w:ascii="Times New Roman" w:hAnsi="Times New Roman" w:eastAsia="仿宋_GB2312" w:cs="Times New Roman"/>
          <w:spacing w:val="0"/>
          <w:sz w:val="32"/>
          <w:szCs w:val="32"/>
          <w:lang w:val="en-US" w:eastAsia="zh-CN"/>
        </w:rPr>
        <w:t>2025</w:t>
      </w:r>
      <w:r>
        <w:rPr>
          <w:rFonts w:hint="eastAsia" w:ascii="仿宋_GB2312" w:hAnsi="仿宋_GB2312" w:eastAsia="仿宋_GB2312" w:cs="仿宋_GB2312"/>
          <w:spacing w:val="-6"/>
          <w:sz w:val="32"/>
          <w:szCs w:val="32"/>
          <w:lang w:val="en-US" w:eastAsia="zh-CN"/>
        </w:rPr>
        <w:t>年，</w:t>
      </w:r>
      <w:r>
        <w:rPr>
          <w:rFonts w:hint="eastAsia" w:ascii="仿宋_GB2312" w:hAnsi="仿宋_GB2312" w:cs="仿宋_GB2312"/>
          <w:spacing w:val="-6"/>
          <w:sz w:val="32"/>
          <w:szCs w:val="32"/>
          <w:lang w:val="en-US" w:eastAsia="zh-CN"/>
        </w:rPr>
        <w:t>制修订地方农业标准</w:t>
      </w:r>
      <w:r>
        <w:rPr>
          <w:rFonts w:hint="eastAsia" w:ascii="Times New Roman" w:hAnsi="Times New Roman" w:cs="Times New Roman"/>
          <w:spacing w:val="0"/>
          <w:sz w:val="32"/>
          <w:szCs w:val="32"/>
          <w:lang w:val="en-US" w:eastAsia="zh-CN"/>
        </w:rPr>
        <w:t>120</w:t>
      </w:r>
      <w:r>
        <w:rPr>
          <w:rFonts w:hint="eastAsia" w:ascii="仿宋_GB2312" w:hAnsi="仿宋_GB2312" w:cs="仿宋_GB2312"/>
          <w:spacing w:val="-6"/>
          <w:sz w:val="32"/>
          <w:szCs w:val="32"/>
          <w:lang w:val="en-US" w:eastAsia="zh-CN"/>
        </w:rPr>
        <w:t>项，</w:t>
      </w:r>
      <w:r>
        <w:rPr>
          <w:rFonts w:hint="eastAsia" w:ascii="仿宋_GB2312" w:hAnsi="仿宋_GB2312" w:eastAsia="仿宋_GB2312" w:cs="仿宋_GB2312"/>
          <w:spacing w:val="-6"/>
          <w:sz w:val="32"/>
          <w:szCs w:val="32"/>
          <w:lang w:val="en-US" w:eastAsia="zh-CN"/>
        </w:rPr>
        <w:t>打造现代农业全产业链标准化示范基地</w:t>
      </w:r>
      <w:r>
        <w:rPr>
          <w:rFonts w:hint="eastAsia" w:ascii="Times New Roman" w:hAnsi="Times New Roman" w:eastAsia="仿宋_GB2312" w:cs="Times New Roman"/>
          <w:spacing w:val="0"/>
          <w:sz w:val="32"/>
          <w:szCs w:val="32"/>
          <w:lang w:val="en-US" w:eastAsia="zh-CN"/>
        </w:rPr>
        <w:t>50</w:t>
      </w:r>
      <w:r>
        <w:rPr>
          <w:rFonts w:hint="eastAsia" w:ascii="仿宋_GB2312" w:hAnsi="仿宋_GB2312" w:eastAsia="仿宋_GB2312" w:cs="仿宋_GB2312"/>
          <w:spacing w:val="-6"/>
          <w:sz w:val="32"/>
          <w:szCs w:val="32"/>
          <w:lang w:val="en-US" w:eastAsia="zh-CN"/>
        </w:rPr>
        <w:t>个、出口农产品标准化基地</w:t>
      </w:r>
      <w:r>
        <w:rPr>
          <w:rFonts w:hint="eastAsia" w:ascii="Times New Roman" w:hAnsi="Times New Roman" w:eastAsia="仿宋_GB2312" w:cs="Times New Roman"/>
          <w:spacing w:val="0"/>
          <w:sz w:val="32"/>
          <w:szCs w:val="32"/>
          <w:lang w:val="en-US" w:eastAsia="zh-CN"/>
        </w:rPr>
        <w:t>20</w:t>
      </w:r>
      <w:r>
        <w:rPr>
          <w:rFonts w:hint="eastAsia" w:ascii="仿宋_GB2312" w:hAnsi="仿宋_GB2312" w:eastAsia="仿宋_GB2312" w:cs="仿宋_GB2312"/>
          <w:spacing w:val="-6"/>
          <w:sz w:val="32"/>
          <w:szCs w:val="32"/>
          <w:lang w:val="en-US" w:eastAsia="zh-CN"/>
        </w:rPr>
        <w:t>个，培育一批农业企业标准</w:t>
      </w:r>
      <w:r>
        <w:rPr>
          <w:rFonts w:hint="eastAsia" w:ascii="仿宋_GB2312" w:hAnsi="仿宋_GB2312" w:cs="仿宋_GB2312"/>
          <w:spacing w:val="-6"/>
          <w:sz w:val="32"/>
          <w:szCs w:val="32"/>
          <w:lang w:val="en-US" w:eastAsia="zh-CN"/>
        </w:rPr>
        <w:t>“</w:t>
      </w:r>
      <w:r>
        <w:rPr>
          <w:rFonts w:hint="eastAsia" w:ascii="仿宋_GB2312" w:hAnsi="仿宋_GB2312" w:eastAsia="仿宋_GB2312" w:cs="仿宋_GB2312"/>
          <w:spacing w:val="-6"/>
          <w:sz w:val="32"/>
          <w:szCs w:val="32"/>
          <w:lang w:val="en-US" w:eastAsia="zh-CN"/>
        </w:rPr>
        <w:t>领跑者</w:t>
      </w:r>
      <w:r>
        <w:rPr>
          <w:rFonts w:hint="eastAsia" w:ascii="仿宋_GB2312" w:hAnsi="仿宋_GB2312" w:cs="仿宋_GB2312"/>
          <w:spacing w:val="-6"/>
          <w:sz w:val="32"/>
          <w:szCs w:val="32"/>
          <w:lang w:val="en-US" w:eastAsia="zh-CN"/>
        </w:rPr>
        <w:t>”</w:t>
      </w:r>
      <w:r>
        <w:rPr>
          <w:rFonts w:hint="eastAsia" w:ascii="仿宋_GB2312" w:hAnsi="仿宋_GB2312" w:eastAsia="仿宋_GB2312" w:cs="仿宋_GB2312"/>
          <w:spacing w:val="-6"/>
          <w:sz w:val="32"/>
          <w:szCs w:val="32"/>
          <w:lang w:val="en-US" w:eastAsia="zh-CN"/>
        </w:rPr>
        <w:t>。</w:t>
      </w:r>
      <w:bookmarkEnd w:id="221"/>
    </w:p>
    <w:tbl>
      <w:tblPr>
        <w:tblStyle w:val="16"/>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6" w:type="dxa"/>
          </w:tcPr>
          <w:p>
            <w:pPr>
              <w:widowControl/>
              <w:jc w:val="center"/>
              <w:rPr>
                <w:szCs w:val="21"/>
              </w:rPr>
            </w:pPr>
            <w:r>
              <w:rPr>
                <w:rFonts w:hint="eastAsia" w:ascii="黑体" w:hAnsi="黑体" w:eastAsia="黑体" w:cs="黑体"/>
                <w:b w:val="0"/>
                <w:bCs w:val="0"/>
                <w:kern w:val="0"/>
                <w:sz w:val="22"/>
                <w:szCs w:val="22"/>
              </w:rPr>
              <w:t>专栏</w:t>
            </w:r>
            <w:r>
              <w:rPr>
                <w:rFonts w:hint="eastAsia" w:ascii="黑体" w:hAnsi="黑体" w:eastAsia="黑体" w:cs="黑体"/>
                <w:b w:val="0"/>
                <w:bCs w:val="0"/>
                <w:kern w:val="0"/>
                <w:sz w:val="22"/>
                <w:szCs w:val="22"/>
                <w:lang w:val="en-US" w:eastAsia="zh-CN"/>
              </w:rPr>
              <w:t xml:space="preserve">4 </w:t>
            </w:r>
            <w:r>
              <w:rPr>
                <w:rFonts w:hint="eastAsia" w:ascii="黑体" w:hAnsi="黑体" w:eastAsia="黑体" w:cs="黑体"/>
                <w:b w:val="0"/>
                <w:bCs w:val="0"/>
                <w:kern w:val="0"/>
                <w:sz w:val="22"/>
                <w:szCs w:val="22"/>
              </w:rPr>
              <w:t>绿色农业产业发展项目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766" w:type="dxa"/>
          </w:tcPr>
          <w:p>
            <w:pPr>
              <w:pStyle w:val="14"/>
              <w:keepNext w:val="0"/>
              <w:keepLines w:val="0"/>
              <w:pageBreakBefore w:val="0"/>
              <w:widowControl w:val="0"/>
              <w:tabs>
                <w:tab w:val="left" w:pos="312"/>
              </w:tabs>
              <w:kinsoku/>
              <w:wordWrap/>
              <w:overflowPunct/>
              <w:topLinePunct w:val="0"/>
              <w:autoSpaceDE/>
              <w:autoSpaceDN/>
              <w:bidi w:val="0"/>
              <w:adjustRightInd/>
              <w:snapToGrid/>
              <w:spacing w:after="0" w:line="240" w:lineRule="exact"/>
              <w:ind w:left="0" w:leftChars="0" w:firstLine="0" w:firstLineChars="0"/>
              <w:textAlignment w:val="auto"/>
              <w:outlineLvl w:val="9"/>
              <w:rPr>
                <w:rFonts w:hint="eastAsia" w:ascii="仿宋_GB2312" w:hAnsi="仿宋_GB2312" w:eastAsia="仿宋_GB2312" w:cs="仿宋_GB2312"/>
                <w:b/>
                <w:bCs/>
                <w:szCs w:val="21"/>
              </w:rPr>
            </w:pPr>
          </w:p>
          <w:p>
            <w:pPr>
              <w:pStyle w:val="14"/>
              <w:keepNext w:val="0"/>
              <w:keepLines w:val="0"/>
              <w:pageBreakBefore w:val="0"/>
              <w:widowControl w:val="0"/>
              <w:tabs>
                <w:tab w:val="left" w:pos="312"/>
              </w:tabs>
              <w:kinsoku/>
              <w:wordWrap/>
              <w:overflowPunct/>
              <w:topLinePunct w:val="0"/>
              <w:autoSpaceDE/>
              <w:autoSpaceDN/>
              <w:bidi w:val="0"/>
              <w:adjustRightInd/>
              <w:snapToGrid/>
              <w:spacing w:after="0" w:line="320" w:lineRule="exact"/>
              <w:ind w:left="0" w:leftChars="0" w:right="0" w:rightChars="0" w:firstLine="0" w:firstLineChars="0"/>
              <w:jc w:val="both"/>
              <w:textAlignment w:val="auto"/>
              <w:outlineLvl w:val="9"/>
              <w:rPr>
                <w:rFonts w:hint="eastAsia" w:ascii="仿宋_GB2312" w:hAnsi="仿宋_GB2312" w:eastAsia="仿宋_GB2312" w:cs="仿宋_GB2312"/>
                <w:b w:val="0"/>
                <w:bCs/>
                <w:sz w:val="22"/>
                <w:szCs w:val="22"/>
              </w:rPr>
            </w:pPr>
            <w:r>
              <w:rPr>
                <w:rFonts w:hint="eastAsia" w:ascii="楷体_GB2312" w:hAnsi="楷体_GB2312" w:eastAsia="楷体_GB2312" w:cs="楷体_GB2312"/>
                <w:b/>
                <w:bCs/>
                <w:color w:val="auto"/>
                <w:kern w:val="2"/>
                <w:sz w:val="22"/>
                <w:szCs w:val="22"/>
                <w:lang w:val="en-US" w:eastAsia="zh-CN" w:bidi="ar-SA"/>
              </w:rPr>
              <w:t>1.粮食安全保障。</w:t>
            </w:r>
            <w:r>
              <w:rPr>
                <w:rFonts w:hint="eastAsia" w:ascii="仿宋_GB2312" w:hAnsi="仿宋_GB2312" w:eastAsia="仿宋_GB2312" w:cs="仿宋_GB2312"/>
                <w:b w:val="0"/>
                <w:bCs/>
                <w:sz w:val="22"/>
                <w:szCs w:val="22"/>
              </w:rPr>
              <w:t>大力实施整区域推进高标准农田建设，积极开展高标准农田示范区、示范县、示范镇建设。到</w:t>
            </w:r>
            <w:r>
              <w:rPr>
                <w:rFonts w:hint="eastAsia" w:ascii="Times New Roman" w:hAnsi="Times New Roman" w:eastAsia="仿宋_GB2312" w:cs="Times New Roman"/>
                <w:b w:val="0"/>
                <w:kern w:val="2"/>
                <w:sz w:val="22"/>
                <w:szCs w:val="22"/>
                <w:lang w:val="en-US" w:eastAsia="zh-CN" w:bidi="ar-SA"/>
              </w:rPr>
              <w:t>2025</w:t>
            </w:r>
            <w:r>
              <w:rPr>
                <w:rFonts w:hint="eastAsia" w:ascii="仿宋_GB2312" w:hAnsi="仿宋_GB2312" w:eastAsia="仿宋_GB2312" w:cs="仿宋_GB2312"/>
                <w:b w:val="0"/>
                <w:bCs/>
                <w:sz w:val="22"/>
                <w:szCs w:val="22"/>
              </w:rPr>
              <w:t>年，粮食产能稳定在</w:t>
            </w:r>
            <w:r>
              <w:rPr>
                <w:rFonts w:hint="eastAsia" w:ascii="Times New Roman" w:hAnsi="Times New Roman" w:eastAsia="仿宋_GB2312" w:cs="Times New Roman"/>
                <w:b w:val="0"/>
                <w:kern w:val="2"/>
                <w:sz w:val="22"/>
                <w:szCs w:val="22"/>
                <w:lang w:val="en-US" w:eastAsia="zh-CN" w:bidi="ar-SA"/>
              </w:rPr>
              <w:t>380</w:t>
            </w:r>
            <w:r>
              <w:rPr>
                <w:rFonts w:hint="eastAsia" w:ascii="仿宋_GB2312" w:hAnsi="仿宋_GB2312" w:eastAsia="仿宋_GB2312" w:cs="仿宋_GB2312"/>
                <w:b w:val="0"/>
                <w:bCs/>
                <w:sz w:val="22"/>
                <w:szCs w:val="22"/>
              </w:rPr>
              <w:t>万吨以上，创建</w:t>
            </w:r>
            <w:r>
              <w:rPr>
                <w:rFonts w:hint="eastAsia" w:ascii="Times New Roman" w:hAnsi="Times New Roman" w:eastAsia="仿宋_GB2312" w:cs="Times New Roman"/>
                <w:b w:val="0"/>
                <w:kern w:val="2"/>
                <w:sz w:val="22"/>
                <w:szCs w:val="22"/>
                <w:lang w:val="en-US" w:eastAsia="zh-CN" w:bidi="ar-SA"/>
              </w:rPr>
              <w:t>10</w:t>
            </w:r>
            <w:r>
              <w:rPr>
                <w:rFonts w:hint="eastAsia" w:ascii="仿宋_GB2312" w:hAnsi="仿宋_GB2312" w:eastAsia="仿宋_GB2312" w:cs="仿宋_GB2312"/>
                <w:b w:val="0"/>
                <w:bCs/>
                <w:sz w:val="22"/>
                <w:szCs w:val="22"/>
              </w:rPr>
              <w:t>个优质粮食标准化示范县，在引黄灌区产粮大县每年建设储备小麦生产基地、优质稻谷生产基地各</w:t>
            </w:r>
            <w:r>
              <w:rPr>
                <w:rFonts w:hint="eastAsia" w:ascii="Times New Roman" w:hAnsi="Times New Roman" w:eastAsia="仿宋_GB2312" w:cs="Times New Roman"/>
                <w:b w:val="0"/>
                <w:kern w:val="2"/>
                <w:sz w:val="22"/>
                <w:szCs w:val="22"/>
                <w:lang w:val="en-US" w:eastAsia="zh-CN" w:bidi="ar-SA"/>
              </w:rPr>
              <w:t>10</w:t>
            </w:r>
            <w:r>
              <w:rPr>
                <w:rFonts w:hint="eastAsia" w:ascii="仿宋_GB2312" w:hAnsi="仿宋_GB2312" w:eastAsia="仿宋_GB2312" w:cs="仿宋_GB2312"/>
                <w:b w:val="0"/>
                <w:bCs/>
                <w:sz w:val="22"/>
                <w:szCs w:val="22"/>
              </w:rPr>
              <w:t>万亩。</w:t>
            </w:r>
          </w:p>
          <w:p>
            <w:pPr>
              <w:pStyle w:val="14"/>
              <w:keepNext w:val="0"/>
              <w:keepLines w:val="0"/>
              <w:pageBreakBefore w:val="0"/>
              <w:widowControl w:val="0"/>
              <w:tabs>
                <w:tab w:val="left" w:pos="312"/>
              </w:tabs>
              <w:kinsoku/>
              <w:wordWrap/>
              <w:overflowPunct/>
              <w:topLinePunct w:val="0"/>
              <w:autoSpaceDE/>
              <w:autoSpaceDN/>
              <w:bidi w:val="0"/>
              <w:adjustRightInd/>
              <w:snapToGrid/>
              <w:spacing w:after="0" w:line="320" w:lineRule="exact"/>
              <w:ind w:left="0" w:leftChars="0" w:right="0" w:rightChars="0" w:firstLine="0" w:firstLineChars="0"/>
              <w:jc w:val="both"/>
              <w:textAlignment w:val="auto"/>
              <w:outlineLvl w:val="9"/>
              <w:rPr>
                <w:rFonts w:hint="eastAsia" w:ascii="仿宋_GB2312" w:hAnsi="仿宋_GB2312" w:eastAsia="仿宋_GB2312" w:cs="仿宋_GB2312"/>
                <w:b w:val="0"/>
                <w:bCs/>
                <w:sz w:val="22"/>
                <w:szCs w:val="22"/>
              </w:rPr>
            </w:pPr>
            <w:r>
              <w:rPr>
                <w:rFonts w:hint="eastAsia" w:ascii="楷体_GB2312" w:hAnsi="楷体_GB2312" w:eastAsia="楷体_GB2312" w:cs="楷体_GB2312"/>
                <w:b/>
                <w:bCs/>
                <w:sz w:val="22"/>
                <w:szCs w:val="22"/>
              </w:rPr>
              <w:t>2.养殖业高质高效</w:t>
            </w:r>
            <w:r>
              <w:rPr>
                <w:rFonts w:hint="eastAsia" w:ascii="楷体_GB2312" w:hAnsi="楷体_GB2312" w:eastAsia="楷体_GB2312" w:cs="楷体_GB2312"/>
                <w:sz w:val="22"/>
                <w:szCs w:val="22"/>
              </w:rPr>
              <w:t>。</w:t>
            </w:r>
            <w:r>
              <w:rPr>
                <w:rFonts w:hint="eastAsia" w:ascii="仿宋_GB2312" w:hAnsi="仿宋_GB2312" w:eastAsia="仿宋_GB2312" w:cs="仿宋_GB2312"/>
                <w:b w:val="0"/>
                <w:bCs/>
                <w:color w:val="auto"/>
                <w:sz w:val="22"/>
                <w:szCs w:val="22"/>
              </w:rPr>
              <w:t>实施高产优质苜蓿示范、粮改饲项目，</w:t>
            </w:r>
            <w:r>
              <w:rPr>
                <w:rFonts w:hint="eastAsia" w:ascii="仿宋_GB2312" w:hAnsi="仿宋_GB2312" w:eastAsia="仿宋_GB2312" w:cs="仿宋_GB2312"/>
                <w:b w:val="0"/>
                <w:bCs/>
                <w:sz w:val="22"/>
                <w:szCs w:val="22"/>
              </w:rPr>
              <w:t>落实好农牧民奖补政策。实施奶牛群体遗传改良计划，加强良种繁育推广，支持在利通区、灵武市、平罗县和沙坡头区建设奶牛良种繁育基地，推广优质性控冻精</w:t>
            </w:r>
            <w:r>
              <w:rPr>
                <w:rFonts w:hint="eastAsia" w:ascii="Times New Roman" w:hAnsi="Times New Roman" w:eastAsia="仿宋_GB2312" w:cs="Times New Roman"/>
                <w:b w:val="0"/>
                <w:kern w:val="2"/>
                <w:sz w:val="22"/>
                <w:szCs w:val="22"/>
                <w:lang w:val="en-US" w:eastAsia="zh-CN" w:bidi="ar-SA"/>
              </w:rPr>
              <w:t>50</w:t>
            </w:r>
            <w:r>
              <w:rPr>
                <w:rFonts w:hint="eastAsia" w:ascii="仿宋_GB2312" w:hAnsi="仿宋_GB2312" w:eastAsia="仿宋_GB2312" w:cs="仿宋_GB2312"/>
                <w:b w:val="0"/>
                <w:bCs/>
                <w:sz w:val="22"/>
                <w:szCs w:val="22"/>
              </w:rPr>
              <w:t>万支。建设奶源基地</w:t>
            </w:r>
            <w:r>
              <w:rPr>
                <w:rFonts w:hint="eastAsia" w:ascii="Times New Roman" w:hAnsi="Times New Roman" w:eastAsia="仿宋_GB2312" w:cs="Times New Roman"/>
                <w:b w:val="0"/>
                <w:kern w:val="2"/>
                <w:sz w:val="22"/>
                <w:szCs w:val="22"/>
                <w:lang w:val="en-US" w:eastAsia="zh-CN" w:bidi="ar-SA"/>
              </w:rPr>
              <w:t>8</w:t>
            </w:r>
            <w:r>
              <w:rPr>
                <w:rFonts w:hint="eastAsia" w:ascii="仿宋_GB2312" w:hAnsi="仿宋_GB2312" w:eastAsia="仿宋_GB2312" w:cs="仿宋_GB2312"/>
                <w:b w:val="0"/>
                <w:bCs/>
                <w:sz w:val="22"/>
                <w:szCs w:val="22"/>
              </w:rPr>
              <w:t>个，新建扩建规模奶牛场</w:t>
            </w:r>
            <w:r>
              <w:rPr>
                <w:rFonts w:hint="eastAsia" w:ascii="Times New Roman" w:hAnsi="Times New Roman" w:eastAsia="仿宋_GB2312" w:cs="Times New Roman"/>
                <w:b w:val="0"/>
                <w:kern w:val="2"/>
                <w:sz w:val="22"/>
                <w:szCs w:val="22"/>
                <w:lang w:val="en-US" w:eastAsia="zh-CN" w:bidi="ar-SA"/>
              </w:rPr>
              <w:t>100</w:t>
            </w:r>
            <w:r>
              <w:rPr>
                <w:rFonts w:hint="eastAsia" w:ascii="仿宋_GB2312" w:hAnsi="仿宋_GB2312" w:eastAsia="仿宋_GB2312" w:cs="仿宋_GB2312"/>
                <w:b w:val="0"/>
                <w:bCs/>
                <w:sz w:val="22"/>
                <w:szCs w:val="22"/>
              </w:rPr>
              <w:t>个。</w:t>
            </w:r>
          </w:p>
          <w:p>
            <w:pPr>
              <w:pStyle w:val="14"/>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jc w:val="both"/>
              <w:textAlignment w:val="auto"/>
              <w:outlineLvl w:val="9"/>
              <w:rPr>
                <w:rFonts w:hint="eastAsia" w:ascii="仿宋_GB2312" w:hAnsi="仿宋_GB2312" w:eastAsia="仿宋_GB2312" w:cs="仿宋_GB2312"/>
                <w:b w:val="0"/>
                <w:bCs/>
                <w:color w:val="auto"/>
                <w:sz w:val="22"/>
                <w:szCs w:val="22"/>
              </w:rPr>
            </w:pPr>
            <w:r>
              <w:rPr>
                <w:rFonts w:hint="eastAsia" w:ascii="楷体_GB2312" w:hAnsi="楷体_GB2312" w:eastAsia="楷体_GB2312" w:cs="楷体_GB2312"/>
                <w:b/>
                <w:bCs/>
                <w:sz w:val="22"/>
                <w:szCs w:val="22"/>
              </w:rPr>
              <w:t>3.渔业提质增效。</w:t>
            </w:r>
            <w:r>
              <w:rPr>
                <w:rFonts w:hint="eastAsia" w:ascii="仿宋_GB2312" w:hAnsi="仿宋_GB2312" w:eastAsia="仿宋_GB2312" w:cs="仿宋_GB2312"/>
                <w:b w:val="0"/>
                <w:bCs/>
                <w:sz w:val="22"/>
                <w:szCs w:val="22"/>
              </w:rPr>
              <w:t>推进水产业转型升级，加快调优养殖品种结构，推动常规品种提质增效、优新品种扩量增收。大力发展水产健康养殖，加强养殖池塘改造和设施建设，积极创建水产健康养殖和生态养殖示范场。</w:t>
            </w:r>
            <w:r>
              <w:rPr>
                <w:rFonts w:hint="eastAsia" w:ascii="仿宋_GB2312" w:hAnsi="仿宋_GB2312" w:eastAsia="仿宋_GB2312" w:cs="仿宋_GB2312"/>
                <w:b w:val="0"/>
                <w:bCs/>
                <w:color w:val="auto"/>
                <w:sz w:val="22"/>
                <w:szCs w:val="22"/>
              </w:rPr>
              <w:t>到</w:t>
            </w:r>
            <w:r>
              <w:rPr>
                <w:rFonts w:hint="eastAsia" w:ascii="Times New Roman" w:hAnsi="Times New Roman" w:eastAsia="仿宋_GB2312" w:cs="Times New Roman"/>
                <w:b w:val="0"/>
                <w:kern w:val="2"/>
                <w:sz w:val="22"/>
                <w:szCs w:val="22"/>
                <w:lang w:val="en-US" w:eastAsia="zh-CN" w:bidi="ar-SA"/>
              </w:rPr>
              <w:t>2025</w:t>
            </w:r>
            <w:r>
              <w:rPr>
                <w:rFonts w:hint="eastAsia" w:ascii="仿宋_GB2312" w:hAnsi="仿宋_GB2312" w:eastAsia="仿宋_GB2312" w:cs="仿宋_GB2312"/>
                <w:b w:val="0"/>
                <w:bCs/>
                <w:color w:val="auto"/>
                <w:sz w:val="22"/>
                <w:szCs w:val="22"/>
              </w:rPr>
              <w:t>年，新建设国家级水产种质资源场</w:t>
            </w:r>
            <w:r>
              <w:rPr>
                <w:rFonts w:hint="eastAsia" w:ascii="Times New Roman" w:hAnsi="Times New Roman" w:eastAsia="仿宋_GB2312" w:cs="Times New Roman"/>
                <w:b w:val="0"/>
                <w:kern w:val="2"/>
                <w:sz w:val="22"/>
                <w:szCs w:val="22"/>
                <w:lang w:val="en-US" w:eastAsia="zh-CN" w:bidi="ar-SA"/>
              </w:rPr>
              <w:t>2</w:t>
            </w:r>
            <w:r>
              <w:rPr>
                <w:rFonts w:hint="eastAsia" w:ascii="仿宋_GB2312" w:hAnsi="仿宋_GB2312" w:eastAsia="仿宋_GB2312" w:cs="仿宋_GB2312"/>
                <w:b w:val="0"/>
                <w:bCs/>
                <w:color w:val="auto"/>
                <w:sz w:val="22"/>
                <w:szCs w:val="22"/>
              </w:rPr>
              <w:t>个，创建水产健康养殖和生态养殖示范场</w:t>
            </w:r>
            <w:r>
              <w:rPr>
                <w:rFonts w:hint="eastAsia" w:ascii="Times New Roman" w:hAnsi="Times New Roman" w:eastAsia="仿宋_GB2312" w:cs="Times New Roman"/>
                <w:b w:val="0"/>
                <w:kern w:val="2"/>
                <w:sz w:val="22"/>
                <w:szCs w:val="22"/>
                <w:lang w:val="en-US" w:eastAsia="zh-CN" w:bidi="ar-SA"/>
              </w:rPr>
              <w:t>5</w:t>
            </w:r>
            <w:r>
              <w:rPr>
                <w:rFonts w:hint="eastAsia" w:ascii="仿宋_GB2312" w:hAnsi="仿宋_GB2312" w:eastAsia="仿宋_GB2312" w:cs="仿宋_GB2312"/>
                <w:b w:val="0"/>
                <w:bCs/>
                <w:color w:val="auto"/>
                <w:sz w:val="22"/>
                <w:szCs w:val="22"/>
              </w:rPr>
              <w:t>个；实施</w:t>
            </w:r>
            <w:r>
              <w:rPr>
                <w:rFonts w:hint="eastAsia" w:ascii="仿宋_GB2312" w:hAnsi="仿宋_GB2312" w:eastAsia="仿宋_GB2312" w:cs="仿宋_GB2312"/>
                <w:b w:val="0"/>
                <w:bCs/>
                <w:color w:val="auto"/>
                <w:sz w:val="22"/>
                <w:szCs w:val="28"/>
              </w:rPr>
              <w:t>大水面生态增养殖</w:t>
            </w:r>
            <w:r>
              <w:rPr>
                <w:rFonts w:hint="eastAsia" w:ascii="Times New Roman" w:hAnsi="Times New Roman" w:eastAsia="仿宋_GB2312" w:cs="Times New Roman"/>
                <w:b w:val="0"/>
                <w:kern w:val="2"/>
                <w:sz w:val="22"/>
                <w:szCs w:val="22"/>
                <w:lang w:val="en-US" w:eastAsia="zh-CN" w:bidi="ar-SA"/>
              </w:rPr>
              <w:t>10</w:t>
            </w:r>
            <w:r>
              <w:rPr>
                <w:rFonts w:hint="eastAsia" w:ascii="仿宋_GB2312" w:hAnsi="仿宋_GB2312" w:eastAsia="仿宋_GB2312" w:cs="仿宋_GB2312"/>
                <w:b w:val="0"/>
                <w:bCs/>
                <w:color w:val="auto"/>
                <w:sz w:val="22"/>
                <w:szCs w:val="28"/>
              </w:rPr>
              <w:t>万亩、稻渔综合种养</w:t>
            </w:r>
            <w:r>
              <w:rPr>
                <w:rFonts w:hint="eastAsia" w:ascii="Times New Roman" w:hAnsi="Times New Roman" w:eastAsia="仿宋_GB2312" w:cs="Times New Roman"/>
                <w:b w:val="0"/>
                <w:kern w:val="2"/>
                <w:sz w:val="22"/>
                <w:szCs w:val="22"/>
                <w:lang w:val="en-US" w:eastAsia="zh-CN" w:bidi="ar-SA"/>
              </w:rPr>
              <w:t>10</w:t>
            </w:r>
            <w:r>
              <w:rPr>
                <w:rFonts w:hint="eastAsia" w:ascii="仿宋_GB2312" w:hAnsi="仿宋_GB2312" w:eastAsia="仿宋_GB2312" w:cs="仿宋_GB2312"/>
                <w:b w:val="0"/>
                <w:bCs/>
                <w:color w:val="auto"/>
                <w:sz w:val="22"/>
                <w:szCs w:val="28"/>
              </w:rPr>
              <w:t>万亩</w:t>
            </w:r>
            <w:r>
              <w:rPr>
                <w:rFonts w:hint="eastAsia" w:ascii="仿宋_GB2312" w:hAnsi="仿宋_GB2312" w:eastAsia="仿宋_GB2312" w:cs="仿宋_GB2312"/>
                <w:b w:val="0"/>
                <w:bCs/>
                <w:color w:val="auto"/>
                <w:sz w:val="22"/>
                <w:szCs w:val="22"/>
              </w:rPr>
              <w:t>。</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color w:val="auto"/>
                <w:sz w:val="22"/>
                <w:szCs w:val="22"/>
                <w:lang w:val="en-US" w:eastAsia="zh-CN"/>
              </w:rPr>
            </w:pPr>
            <w:r>
              <w:rPr>
                <w:rFonts w:hint="eastAsia" w:ascii="楷体_GB2312" w:hAnsi="楷体_GB2312" w:eastAsia="楷体_GB2312" w:cs="楷体_GB2312"/>
                <w:b/>
                <w:bCs/>
                <w:kern w:val="2"/>
                <w:sz w:val="22"/>
                <w:szCs w:val="22"/>
                <w:lang w:val="en-US" w:eastAsia="zh-CN" w:bidi="ar-SA"/>
              </w:rPr>
              <w:t>4.农业产业集群建设。</w:t>
            </w:r>
            <w:r>
              <w:rPr>
                <w:rFonts w:hint="eastAsia" w:ascii="仿宋_GB2312" w:hAnsi="仿宋_GB2312" w:eastAsia="仿宋_GB2312" w:cs="仿宋_GB2312"/>
                <w:sz w:val="22"/>
                <w:szCs w:val="22"/>
              </w:rPr>
              <w:t>实施产业融合发展项目，</w:t>
            </w:r>
            <w:r>
              <w:rPr>
                <w:rFonts w:hint="eastAsia" w:ascii="仿宋_GB2312" w:hAnsi="仿宋_GB2312" w:eastAsia="仿宋_GB2312" w:cs="仿宋_GB2312"/>
                <w:sz w:val="22"/>
                <w:szCs w:val="22"/>
                <w:lang w:eastAsia="zh-CN"/>
              </w:rPr>
              <w:t>加快培育</w:t>
            </w:r>
            <w:r>
              <w:rPr>
                <w:rFonts w:hint="eastAsia" w:ascii="仿宋_GB2312" w:hAnsi="仿宋_GB2312" w:eastAsia="仿宋_GB2312" w:cs="仿宋_GB2312"/>
                <w:sz w:val="22"/>
                <w:szCs w:val="22"/>
              </w:rPr>
              <w:t>优势特色产业集群</w:t>
            </w:r>
            <w:r>
              <w:rPr>
                <w:rFonts w:hint="eastAsia" w:ascii="仿宋_GB2312" w:hAnsi="仿宋_GB2312" w:eastAsia="仿宋_GB2312" w:cs="仿宋_GB2312"/>
                <w:sz w:val="22"/>
                <w:szCs w:val="22"/>
                <w:lang w:eastAsia="zh-CN"/>
              </w:rPr>
              <w:t>，建设</w:t>
            </w:r>
            <w:r>
              <w:rPr>
                <w:rFonts w:hint="eastAsia" w:ascii="仿宋_GB2312" w:hAnsi="仿宋_GB2312" w:eastAsia="仿宋_GB2312" w:cs="仿宋_GB2312"/>
                <w:sz w:val="22"/>
                <w:szCs w:val="22"/>
              </w:rPr>
              <w:t>现代农业产业园</w:t>
            </w:r>
            <w:r>
              <w:rPr>
                <w:rFonts w:hint="eastAsia" w:ascii="仿宋_GB2312" w:hAnsi="仿宋_GB2312" w:eastAsia="仿宋_GB2312" w:cs="仿宋_GB2312"/>
                <w:sz w:val="22"/>
                <w:szCs w:val="22"/>
                <w:lang w:eastAsia="zh-CN"/>
              </w:rPr>
              <w:t>和</w:t>
            </w:r>
            <w:r>
              <w:rPr>
                <w:rFonts w:hint="eastAsia" w:ascii="仿宋_GB2312" w:hAnsi="仿宋_GB2312" w:eastAsia="仿宋_GB2312" w:cs="仿宋_GB2312"/>
                <w:sz w:val="22"/>
                <w:szCs w:val="22"/>
              </w:rPr>
              <w:t>产业强镇。提升特色产业原料基地、仓储保鲜、加工营销等设施装备水平，创新联农带农激励机制，构建特色鲜明、布局合理、创业活跃的乡村产业体系。</w:t>
            </w:r>
            <w:r>
              <w:rPr>
                <w:rFonts w:hint="eastAsia" w:ascii="仿宋_GB2312" w:hAnsi="仿宋_GB2312" w:eastAsia="仿宋_GB2312" w:cs="仿宋_GB2312"/>
                <w:color w:val="auto"/>
                <w:sz w:val="22"/>
                <w:szCs w:val="22"/>
                <w:lang w:eastAsia="zh-CN"/>
              </w:rPr>
              <w:t>到</w:t>
            </w:r>
            <w:r>
              <w:rPr>
                <w:rFonts w:hint="eastAsia" w:ascii="Times New Roman" w:hAnsi="Times New Roman" w:eastAsia="仿宋_GB2312" w:cs="Times New Roman"/>
                <w:sz w:val="22"/>
                <w:szCs w:val="22"/>
                <w:lang w:val="en-US" w:eastAsia="zh-CN"/>
              </w:rPr>
              <w:t>2025</w:t>
            </w:r>
            <w:r>
              <w:rPr>
                <w:rFonts w:hint="eastAsia" w:ascii="仿宋_GB2312" w:hAnsi="仿宋_GB2312" w:eastAsia="仿宋_GB2312" w:cs="仿宋_GB2312"/>
                <w:color w:val="auto"/>
                <w:sz w:val="22"/>
                <w:szCs w:val="22"/>
                <w:lang w:val="en-US" w:eastAsia="zh-CN"/>
              </w:rPr>
              <w:t>年，培育创建现代农业产业园</w:t>
            </w:r>
            <w:r>
              <w:rPr>
                <w:rFonts w:hint="eastAsia" w:ascii="Times New Roman" w:hAnsi="Times New Roman" w:eastAsia="仿宋_GB2312" w:cs="Times New Roman"/>
                <w:sz w:val="22"/>
                <w:szCs w:val="22"/>
                <w:lang w:val="en-US" w:eastAsia="zh-CN"/>
              </w:rPr>
              <w:t>5</w:t>
            </w:r>
            <w:r>
              <w:rPr>
                <w:rFonts w:hint="eastAsia" w:ascii="仿宋_GB2312" w:hAnsi="仿宋_GB2312" w:eastAsia="仿宋_GB2312" w:cs="仿宋_GB2312"/>
                <w:color w:val="auto"/>
                <w:sz w:val="22"/>
                <w:szCs w:val="22"/>
                <w:lang w:val="en-US" w:eastAsia="zh-CN"/>
              </w:rPr>
              <w:t>个、优势特色产业集群</w:t>
            </w:r>
            <w:r>
              <w:rPr>
                <w:rFonts w:hint="eastAsia" w:ascii="Times New Roman" w:hAnsi="Times New Roman" w:eastAsia="仿宋_GB2312" w:cs="Times New Roman"/>
                <w:sz w:val="22"/>
                <w:szCs w:val="22"/>
                <w:lang w:val="en-US" w:eastAsia="zh-CN"/>
              </w:rPr>
              <w:t>5</w:t>
            </w:r>
            <w:r>
              <w:rPr>
                <w:rFonts w:hint="eastAsia" w:ascii="仿宋_GB2312" w:hAnsi="仿宋_GB2312" w:eastAsia="仿宋_GB2312" w:cs="仿宋_GB2312"/>
                <w:color w:val="auto"/>
                <w:sz w:val="22"/>
                <w:szCs w:val="22"/>
                <w:lang w:val="en-US" w:eastAsia="zh-CN"/>
              </w:rPr>
              <w:t>个、农业产业强镇</w:t>
            </w:r>
            <w:r>
              <w:rPr>
                <w:rFonts w:hint="eastAsia" w:ascii="Times New Roman" w:hAnsi="Times New Roman" w:eastAsia="仿宋_GB2312" w:cs="Times New Roman"/>
                <w:sz w:val="22"/>
                <w:szCs w:val="22"/>
                <w:lang w:val="en-US" w:eastAsia="zh-CN"/>
              </w:rPr>
              <w:t>15</w:t>
            </w:r>
            <w:r>
              <w:rPr>
                <w:rFonts w:hint="eastAsia" w:ascii="仿宋_GB2312" w:hAnsi="仿宋_GB2312" w:eastAsia="仿宋_GB2312" w:cs="仿宋_GB2312"/>
                <w:color w:val="auto"/>
                <w:sz w:val="22"/>
                <w:szCs w:val="22"/>
                <w:lang w:val="en-US" w:eastAsia="zh-CN"/>
              </w:rPr>
              <w:t>个。</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sz w:val="22"/>
                <w:szCs w:val="22"/>
              </w:rPr>
            </w:pPr>
            <w:r>
              <w:rPr>
                <w:rFonts w:hint="eastAsia" w:ascii="楷体_GB2312" w:hAnsi="楷体_GB2312" w:eastAsia="楷体_GB2312" w:cs="楷体_GB2312"/>
                <w:b/>
                <w:bCs/>
                <w:kern w:val="2"/>
                <w:sz w:val="22"/>
                <w:szCs w:val="22"/>
                <w:lang w:val="en-US" w:eastAsia="zh-CN" w:bidi="ar-SA"/>
              </w:rPr>
              <w:t>5.农产品加工流通体系建设。</w:t>
            </w:r>
            <w:r>
              <w:rPr>
                <w:rFonts w:hint="eastAsia" w:ascii="仿宋_GB2312" w:hAnsi="仿宋_GB2312" w:eastAsia="仿宋_GB2312" w:cs="仿宋_GB2312"/>
                <w:sz w:val="22"/>
                <w:szCs w:val="22"/>
              </w:rPr>
              <w:t>开展农产品仓储保鲜设施建设，围绕鲜活农产品主产区、特色农产品优势区和贫困地区，聚焦仓储保鲜、冷链物流短板弱项，建设规模适应、功能设施完善的仓储保鲜冷链设施，不断提升产地特色农产品初加工水平，推动更多农产品出村进城、走向市场。</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sz w:val="22"/>
                <w:szCs w:val="22"/>
              </w:rPr>
            </w:pPr>
            <w:r>
              <w:rPr>
                <w:rFonts w:hint="eastAsia" w:ascii="楷体_GB2312" w:hAnsi="楷体_GB2312" w:eastAsia="楷体_GB2312" w:cs="楷体_GB2312"/>
                <w:b/>
                <w:bCs/>
                <w:kern w:val="2"/>
                <w:sz w:val="22"/>
                <w:szCs w:val="22"/>
                <w:lang w:val="en-US" w:eastAsia="zh-CN" w:bidi="ar-SA"/>
              </w:rPr>
              <w:t>6.农业“三品一标”提升工程。</w:t>
            </w:r>
            <w:r>
              <w:rPr>
                <w:rFonts w:hint="eastAsia" w:ascii="仿宋_GB2312" w:hAnsi="仿宋_GB2312" w:eastAsia="仿宋_GB2312" w:cs="仿宋_GB2312"/>
                <w:sz w:val="22"/>
                <w:szCs w:val="22"/>
              </w:rPr>
              <w:t>实施农业标准化生产促进行动，健全完善农业全产业链标准，制修订</w:t>
            </w:r>
            <w:r>
              <w:rPr>
                <w:rFonts w:hint="eastAsia" w:ascii="仿宋_GB2312" w:hAnsi="仿宋_GB2312" w:eastAsia="仿宋_GB2312" w:cs="仿宋_GB2312"/>
                <w:sz w:val="22"/>
                <w:szCs w:val="22"/>
                <w:lang w:eastAsia="zh-CN"/>
              </w:rPr>
              <w:t>地方</w:t>
            </w:r>
            <w:r>
              <w:rPr>
                <w:rFonts w:hint="eastAsia" w:ascii="仿宋_GB2312" w:hAnsi="仿宋_GB2312" w:eastAsia="仿宋_GB2312" w:cs="仿宋_GB2312"/>
                <w:sz w:val="22"/>
                <w:szCs w:val="22"/>
              </w:rPr>
              <w:t>农业标准</w:t>
            </w:r>
            <w:r>
              <w:rPr>
                <w:rFonts w:hint="eastAsia" w:ascii="Times New Roman" w:hAnsi="Times New Roman" w:eastAsia="仿宋_GB2312" w:cs="Times New Roman"/>
                <w:sz w:val="22"/>
                <w:szCs w:val="22"/>
              </w:rPr>
              <w:t>1</w:t>
            </w:r>
            <w:r>
              <w:rPr>
                <w:rFonts w:hint="eastAsia" w:ascii="Times New Roman" w:hAnsi="Times New Roman" w:eastAsia="仿宋_GB2312" w:cs="Times New Roman"/>
                <w:sz w:val="22"/>
                <w:szCs w:val="22"/>
                <w:lang w:val="en-US" w:eastAsia="zh-CN"/>
              </w:rPr>
              <w:t>2</w:t>
            </w:r>
            <w:r>
              <w:rPr>
                <w:rFonts w:hint="eastAsia" w:ascii="Times New Roman" w:hAnsi="Times New Roman" w:eastAsia="仿宋_GB2312" w:cs="Times New Roman"/>
                <w:sz w:val="22"/>
                <w:szCs w:val="22"/>
              </w:rPr>
              <w:t>0</w:t>
            </w:r>
            <w:r>
              <w:rPr>
                <w:rFonts w:hint="eastAsia" w:ascii="仿宋_GB2312" w:hAnsi="仿宋_GB2312" w:eastAsia="仿宋_GB2312" w:cs="仿宋_GB2312"/>
                <w:sz w:val="22"/>
                <w:szCs w:val="22"/>
              </w:rPr>
              <w:t>项；实施地理标志农产品保护工程</w:t>
            </w:r>
            <w:r>
              <w:rPr>
                <w:rFonts w:hint="eastAsia" w:ascii="Times New Roman" w:hAnsi="Times New Roman" w:eastAsia="仿宋_GB2312" w:cs="Times New Roman"/>
                <w:sz w:val="22"/>
                <w:szCs w:val="22"/>
              </w:rPr>
              <w:t>50</w:t>
            </w:r>
            <w:r>
              <w:rPr>
                <w:rFonts w:hint="eastAsia" w:ascii="仿宋_GB2312" w:hAnsi="仿宋_GB2312" w:eastAsia="仿宋_GB2312" w:cs="仿宋_GB2312"/>
                <w:sz w:val="22"/>
                <w:szCs w:val="22"/>
              </w:rPr>
              <w:t>个，培育绿色优质农产品</w:t>
            </w:r>
            <w:r>
              <w:rPr>
                <w:rFonts w:hint="eastAsia" w:ascii="Times New Roman" w:hAnsi="Times New Roman" w:eastAsia="仿宋_GB2312" w:cs="Times New Roman"/>
                <w:sz w:val="22"/>
                <w:szCs w:val="22"/>
              </w:rPr>
              <w:t>200</w:t>
            </w:r>
            <w:r>
              <w:rPr>
                <w:rFonts w:hint="eastAsia" w:ascii="仿宋_GB2312" w:hAnsi="仿宋_GB2312" w:eastAsia="仿宋_GB2312" w:cs="仿宋_GB2312"/>
                <w:sz w:val="22"/>
                <w:szCs w:val="22"/>
              </w:rPr>
              <w:t>个以上。推进农业标准化生产基地建设，创建</w:t>
            </w:r>
            <w:r>
              <w:rPr>
                <w:rFonts w:hint="eastAsia" w:ascii="仿宋_GB2312" w:hAnsi="仿宋_GB2312" w:eastAsia="仿宋_GB2312" w:cs="仿宋_GB2312"/>
                <w:sz w:val="22"/>
                <w:szCs w:val="22"/>
                <w:lang w:eastAsia="zh-CN"/>
              </w:rPr>
              <w:t>现代农业全产业链标准化示范基地</w:t>
            </w:r>
            <w:r>
              <w:rPr>
                <w:rFonts w:hint="eastAsia" w:ascii="Times New Roman" w:hAnsi="Times New Roman" w:eastAsia="仿宋_GB2312" w:cs="Times New Roman"/>
                <w:sz w:val="22"/>
                <w:szCs w:val="22"/>
                <w:lang w:val="en-US" w:eastAsia="zh-CN"/>
              </w:rPr>
              <w:t>50</w:t>
            </w:r>
            <w:r>
              <w:rPr>
                <w:rFonts w:hint="eastAsia" w:ascii="仿宋_GB2312" w:hAnsi="仿宋_GB2312" w:eastAsia="仿宋_GB2312" w:cs="仿宋_GB2312"/>
                <w:sz w:val="22"/>
                <w:szCs w:val="22"/>
                <w:lang w:val="en-US" w:eastAsia="zh-CN"/>
              </w:rPr>
              <w:t>个、出口农产品标准化基地</w:t>
            </w:r>
            <w:r>
              <w:rPr>
                <w:rFonts w:hint="eastAsia" w:ascii="Times New Roman" w:hAnsi="Times New Roman" w:eastAsia="仿宋_GB2312" w:cs="Times New Roman"/>
                <w:sz w:val="22"/>
                <w:szCs w:val="22"/>
                <w:lang w:val="en-US" w:eastAsia="zh-CN"/>
              </w:rPr>
              <w:t>20</w:t>
            </w:r>
            <w:r>
              <w:rPr>
                <w:rFonts w:hint="eastAsia" w:ascii="仿宋_GB2312" w:hAnsi="仿宋_GB2312" w:eastAsia="仿宋_GB2312" w:cs="仿宋_GB2312"/>
                <w:sz w:val="22"/>
                <w:szCs w:val="22"/>
                <w:lang w:val="en-US" w:eastAsia="zh-CN"/>
              </w:rPr>
              <w:t>个</w:t>
            </w:r>
            <w:r>
              <w:rPr>
                <w:rFonts w:hint="eastAsia" w:ascii="仿宋_GB2312" w:hAnsi="仿宋_GB2312" w:eastAsia="仿宋_GB2312" w:cs="仿宋_GB2312"/>
                <w:sz w:val="22"/>
                <w:szCs w:val="22"/>
              </w:rPr>
              <w:t>。在全区</w:t>
            </w:r>
            <w:r>
              <w:rPr>
                <w:rFonts w:hint="eastAsia" w:ascii="Times New Roman" w:hAnsi="Times New Roman" w:eastAsia="仿宋_GB2312" w:cs="Times New Roman"/>
                <w:sz w:val="22"/>
                <w:szCs w:val="22"/>
              </w:rPr>
              <w:t>2000</w:t>
            </w:r>
            <w:r>
              <w:rPr>
                <w:rFonts w:hint="eastAsia" w:ascii="仿宋_GB2312" w:hAnsi="仿宋_GB2312" w:eastAsia="仿宋_GB2312" w:cs="仿宋_GB2312"/>
                <w:sz w:val="22"/>
                <w:szCs w:val="22"/>
              </w:rPr>
              <w:t>家规模以上农业企业、合作社等生产主体实行产品合格证制度。</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szCs w:val="21"/>
              </w:rPr>
            </w:pPr>
            <w:r>
              <w:rPr>
                <w:rFonts w:hint="eastAsia" w:ascii="楷体_GB2312" w:hAnsi="楷体_GB2312" w:eastAsia="楷体_GB2312" w:cs="楷体_GB2312"/>
                <w:b/>
                <w:bCs/>
                <w:kern w:val="2"/>
                <w:sz w:val="22"/>
                <w:szCs w:val="22"/>
                <w:lang w:val="en-US" w:eastAsia="zh-CN" w:bidi="ar-SA"/>
              </w:rPr>
              <w:t>7.农产品质量安全能力提升</w:t>
            </w:r>
            <w:r>
              <w:rPr>
                <w:rFonts w:hint="eastAsia" w:ascii="仿宋_GB2312" w:hAnsi="仿宋_GB2312" w:eastAsia="仿宋_GB2312" w:cs="仿宋_GB2312"/>
                <w:b/>
                <w:bCs/>
                <w:sz w:val="22"/>
                <w:szCs w:val="22"/>
              </w:rPr>
              <w:t>。</w:t>
            </w:r>
            <w:r>
              <w:rPr>
                <w:rFonts w:hint="eastAsia" w:ascii="仿宋_GB2312" w:hAnsi="仿宋_GB2312" w:eastAsia="仿宋_GB2312" w:cs="仿宋_GB2312"/>
                <w:color w:val="auto"/>
                <w:sz w:val="22"/>
                <w:szCs w:val="22"/>
              </w:rPr>
              <w:t>强化农产品质量安全监管，</w:t>
            </w:r>
            <w:r>
              <w:rPr>
                <w:rFonts w:hint="eastAsia" w:ascii="仿宋_GB2312" w:hAnsi="仿宋_GB2312" w:eastAsia="仿宋_GB2312" w:cs="仿宋_GB2312"/>
                <w:sz w:val="22"/>
                <w:szCs w:val="22"/>
              </w:rPr>
              <w:t>完善农产品例行监测、监督抽查制度和生产追溯制度，每年开展农产品质量安全监测不少于</w:t>
            </w:r>
            <w:r>
              <w:rPr>
                <w:rFonts w:hint="default" w:ascii="Times New Roman" w:hAnsi="Times New Roman" w:eastAsia="仿宋_GB2312" w:cs="Times New Roman"/>
                <w:sz w:val="22"/>
                <w:szCs w:val="22"/>
              </w:rPr>
              <w:t>2000</w:t>
            </w:r>
            <w:r>
              <w:rPr>
                <w:rFonts w:hint="eastAsia" w:ascii="仿宋_GB2312" w:hAnsi="仿宋_GB2312" w:eastAsia="仿宋_GB2312" w:cs="仿宋_GB2312"/>
                <w:sz w:val="22"/>
                <w:szCs w:val="22"/>
              </w:rPr>
              <w:t>批次；支持</w:t>
            </w:r>
            <w:r>
              <w:rPr>
                <w:rFonts w:hint="eastAsia" w:ascii="Times New Roman" w:hAnsi="Times New Roman" w:eastAsia="仿宋_GB2312" w:cs="Times New Roman"/>
                <w:sz w:val="22"/>
                <w:szCs w:val="22"/>
              </w:rPr>
              <w:t>5</w:t>
            </w:r>
            <w:r>
              <w:rPr>
                <w:rFonts w:hint="eastAsia" w:ascii="仿宋_GB2312" w:hAnsi="仿宋_GB2312" w:eastAsia="仿宋_GB2312" w:cs="仿宋_GB2312"/>
                <w:sz w:val="22"/>
                <w:szCs w:val="22"/>
              </w:rPr>
              <w:t>个市级、</w:t>
            </w:r>
            <w:r>
              <w:rPr>
                <w:rFonts w:hint="eastAsia" w:ascii="Times New Roman" w:hAnsi="Times New Roman" w:eastAsia="仿宋_GB2312" w:cs="Times New Roman"/>
                <w:sz w:val="22"/>
                <w:szCs w:val="22"/>
              </w:rPr>
              <w:t>21</w:t>
            </w:r>
            <w:r>
              <w:rPr>
                <w:rFonts w:hint="eastAsia" w:ascii="仿宋_GB2312" w:hAnsi="仿宋_GB2312" w:eastAsia="仿宋_GB2312" w:cs="仿宋_GB2312"/>
                <w:sz w:val="22"/>
                <w:szCs w:val="22"/>
              </w:rPr>
              <w:t>个县级农产品质量安全检验检测机构开展能力提升，每年</w:t>
            </w:r>
            <w:r>
              <w:rPr>
                <w:rFonts w:hint="eastAsia" w:ascii="仿宋_GB2312" w:hAnsi="仿宋_GB2312" w:eastAsia="仿宋_GB2312" w:cs="仿宋_GB2312"/>
                <w:sz w:val="22"/>
                <w:szCs w:val="22"/>
                <w:lang w:eastAsia="zh-CN"/>
              </w:rPr>
              <w:t>建立</w:t>
            </w:r>
            <w:r>
              <w:rPr>
                <w:rFonts w:hint="eastAsia" w:ascii="Times New Roman" w:hAnsi="Times New Roman" w:eastAsia="仿宋_GB2312" w:cs="Times New Roman"/>
                <w:sz w:val="22"/>
                <w:szCs w:val="22"/>
                <w:lang w:val="en-US" w:eastAsia="zh-CN"/>
              </w:rPr>
              <w:t>50</w:t>
            </w:r>
            <w:r>
              <w:rPr>
                <w:rFonts w:hint="eastAsia" w:ascii="仿宋_GB2312" w:hAnsi="仿宋_GB2312" w:eastAsia="仿宋_GB2312" w:cs="仿宋_GB2312"/>
                <w:sz w:val="22"/>
                <w:szCs w:val="22"/>
                <w:lang w:val="en-US" w:eastAsia="zh-CN"/>
              </w:rPr>
              <w:t>个农产品质量安全固定监测点</w:t>
            </w:r>
            <w:r>
              <w:rPr>
                <w:rFonts w:hint="eastAsia" w:ascii="仿宋_GB2312" w:hAnsi="仿宋_GB2312" w:eastAsia="仿宋_GB2312" w:cs="仿宋_GB2312"/>
                <w:sz w:val="22"/>
                <w:szCs w:val="22"/>
              </w:rPr>
              <w:t>，开展农产品质量安全快速检测。</w:t>
            </w:r>
          </w:p>
        </w:tc>
      </w:tr>
    </w:tbl>
    <w:p>
      <w:pPr>
        <w:pStyle w:val="3"/>
        <w:keepNext/>
        <w:keepLines/>
        <w:pageBreakBefore w:val="0"/>
        <w:widowControl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outlineLvl w:val="0"/>
        <w:rPr>
          <w:rFonts w:hint="eastAsia" w:ascii="方正小标宋_GBK" w:hAnsi="方正小标宋_GBK" w:eastAsia="方正小标宋_GBK" w:cs="方正小标宋_GBK"/>
          <w:sz w:val="36"/>
          <w:szCs w:val="36"/>
        </w:rPr>
      </w:pPr>
      <w:bookmarkStart w:id="222" w:name="_Toc21201"/>
    </w:p>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黑体" w:hAnsi="黑体" w:eastAsia="黑体" w:cs="黑体"/>
          <w:b w:val="0"/>
          <w:bCs w:val="0"/>
          <w:sz w:val="32"/>
          <w:szCs w:val="32"/>
        </w:rPr>
      </w:pPr>
      <w:r>
        <w:rPr>
          <w:rFonts w:hint="eastAsia" w:ascii="黑体" w:hAnsi="黑体" w:eastAsia="黑体" w:cs="黑体"/>
          <w:b w:val="0"/>
          <w:bCs w:val="0"/>
          <w:sz w:val="32"/>
          <w:szCs w:val="32"/>
        </w:rPr>
        <w:t>第七章 建立和完善农业绿色技术支撑体系</w:t>
      </w:r>
      <w:bookmarkEnd w:id="215"/>
      <w:bookmarkEnd w:id="216"/>
      <w:bookmarkEnd w:id="222"/>
    </w:p>
    <w:p>
      <w:pPr>
        <w:pStyle w:val="4"/>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楷体_GB2312" w:hAnsi="楷体_GB2312" w:eastAsia="楷体_GB2312" w:cs="楷体_GB2312"/>
          <w:sz w:val="32"/>
          <w:szCs w:val="32"/>
        </w:rPr>
      </w:pPr>
      <w:bookmarkStart w:id="223" w:name="_Toc14757"/>
      <w:r>
        <w:rPr>
          <w:rFonts w:hint="eastAsia" w:ascii="楷体_GB2312" w:hAnsi="楷体_GB2312" w:eastAsia="楷体_GB2312" w:cs="楷体_GB2312"/>
          <w:sz w:val="32"/>
          <w:szCs w:val="32"/>
          <w:lang w:eastAsia="zh-CN"/>
        </w:rPr>
        <w:t>第一节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创新推广农业绿色技术</w:t>
      </w:r>
      <w:bookmarkEnd w:id="223"/>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sz w:val="32"/>
          <w:szCs w:val="32"/>
        </w:rPr>
      </w:pPr>
      <w:r>
        <w:rPr>
          <w:rFonts w:hint="eastAsia" w:ascii="仿宋_GB2312" w:hAnsi="仿宋_GB2312" w:eastAsia="仿宋_GB2312" w:cs="仿宋_GB2312"/>
          <w:b w:val="0"/>
          <w:bCs w:val="0"/>
          <w:sz w:val="32"/>
          <w:szCs w:val="32"/>
        </w:rPr>
        <w:t>高质高效绿色种植技术。</w:t>
      </w:r>
      <w:r>
        <w:rPr>
          <w:rFonts w:hint="eastAsia"/>
          <w:sz w:val="32"/>
          <w:szCs w:val="32"/>
        </w:rPr>
        <w:t>开展绿色高质高效行动，集成推广新品种、高效节水、集约节肥、绿色防控等高质高效技术，积极创建粮食作物绿色高质高效示范县，粮食作物新品种、新技术到位率达90%以上，耕种收综合机械化率达到85%。大力推广蔬菜绿色高质高效生产技术，推广有机肥替代化肥、水肥一体化、病虫害绿色防控等技术模式，绿色高质高效技术推广普及率</w:t>
      </w:r>
      <w:r>
        <w:rPr>
          <w:rFonts w:hint="eastAsia"/>
          <w:color w:val="auto"/>
          <w:sz w:val="32"/>
          <w:szCs w:val="32"/>
        </w:rPr>
        <w:t>达70%以上。集成推广病虫害统防统治和全程绿色防控技术，以枸杞核心产区和酿酒葡萄生产标准园建设为重点，病虫害</w:t>
      </w:r>
      <w:r>
        <w:rPr>
          <w:rFonts w:hint="eastAsia"/>
          <w:color w:val="auto"/>
          <w:sz w:val="32"/>
          <w:szCs w:val="32"/>
          <w:lang w:eastAsia="zh-CN"/>
        </w:rPr>
        <w:t>绿色</w:t>
      </w:r>
      <w:r>
        <w:rPr>
          <w:rFonts w:hint="eastAsia"/>
          <w:color w:val="auto"/>
          <w:sz w:val="32"/>
          <w:szCs w:val="32"/>
        </w:rPr>
        <w:t>统防统治率达到</w:t>
      </w:r>
      <w:r>
        <w:rPr>
          <w:rFonts w:hint="eastAsia"/>
          <w:color w:val="auto"/>
          <w:sz w:val="32"/>
          <w:szCs w:val="32"/>
          <w:lang w:val="en-US" w:eastAsia="zh-CN"/>
        </w:rPr>
        <w:t>5</w:t>
      </w:r>
      <w:r>
        <w:rPr>
          <w:rFonts w:hint="eastAsia"/>
          <w:color w:val="auto"/>
          <w:sz w:val="32"/>
          <w:szCs w:val="32"/>
        </w:rPr>
        <w:t>0%。</w:t>
      </w:r>
      <w:r>
        <w:rPr>
          <w:rFonts w:hint="eastAsia"/>
          <w:sz w:val="32"/>
          <w:szCs w:val="32"/>
        </w:rPr>
        <w:t>加强新品种、新技术、新模式引进推广，建设世界知名葡萄酒产区。</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sz w:val="32"/>
          <w:szCs w:val="32"/>
        </w:rPr>
      </w:pPr>
      <w:r>
        <w:rPr>
          <w:rFonts w:hint="eastAsia" w:ascii="仿宋_GB2312" w:hAnsi="仿宋_GB2312" w:eastAsia="仿宋_GB2312" w:cs="仿宋_GB2312"/>
          <w:b w:val="0"/>
          <w:bCs w:val="0"/>
          <w:sz w:val="32"/>
          <w:szCs w:val="32"/>
          <w:lang w:val="en-US" w:eastAsia="zh-CN"/>
        </w:rPr>
        <w:t>推进绿色技术集成创新。开展关键技术攻关，围绕农业旱作节水、精准施肥用药、面源污染治理、退化耕地修复等，组织产学研联合攻关，攻克一批关键核心技术，转化一批重大科技成果。推进绿色高效栽培关键技术集成创新与应用。重点开展水稻、小麦、玉米全程机械化高效种植技术集成创新和精准作业机具改制升级，突破连作障碍、成灾性病虫害生物防治等关键技术。研发应用抗旱保墒丰产、多源肥料综合利用、绿色精准植保等关键技术。</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sz w:val="32"/>
          <w:szCs w:val="32"/>
        </w:rPr>
      </w:pPr>
      <w:r>
        <w:rPr>
          <w:rFonts w:hint="eastAsia" w:ascii="仿宋_GB2312" w:hAnsi="仿宋_GB2312" w:eastAsia="仿宋_GB2312" w:cs="仿宋_GB2312"/>
          <w:b w:val="0"/>
          <w:bCs w:val="0"/>
          <w:sz w:val="32"/>
          <w:szCs w:val="32"/>
        </w:rPr>
        <w:t>转型升级绿色养殖技术。</w:t>
      </w:r>
      <w:r>
        <w:rPr>
          <w:rFonts w:hint="eastAsia"/>
          <w:sz w:val="32"/>
          <w:szCs w:val="32"/>
        </w:rPr>
        <w:t>针对宁夏名特优地方畜禽品种，建设国家级和省级保种场、原种场、繁育场。推广优质肉牛冻精、优质种公羊，奶牛、肉牛、肉羊良种化率分别达到100%、</w:t>
      </w:r>
      <w:r>
        <w:rPr>
          <w:rFonts w:hint="eastAsia"/>
          <w:sz w:val="32"/>
          <w:szCs w:val="32"/>
          <w:lang w:val="en-US" w:eastAsia="zh-CN"/>
        </w:rPr>
        <w:t>90</w:t>
      </w:r>
      <w:r>
        <w:rPr>
          <w:rFonts w:hint="eastAsia"/>
          <w:sz w:val="32"/>
          <w:szCs w:val="32"/>
        </w:rPr>
        <w:t>%、92%。建立提质增效科技示范点61个，示范推广20项关键技术。对规模化畜禽养殖场进行环保基础</w:t>
      </w:r>
      <w:r>
        <w:rPr>
          <w:sz w:val="32"/>
          <w:szCs w:val="32"/>
        </w:rPr>
        <w:t>设施改造提升，推广种养结合的生态循环养殖模式，加强畜牧养殖废弃物资源化利用。</w:t>
      </w:r>
      <w:r>
        <w:rPr>
          <w:rFonts w:hint="eastAsia"/>
          <w:color w:val="auto"/>
          <w:sz w:val="32"/>
          <w:szCs w:val="32"/>
          <w:lang w:eastAsia="zh-CN"/>
        </w:rPr>
        <w:t>全面加强规模化养殖园区建设，积极引导“出户入园”集中养殖，</w:t>
      </w:r>
      <w:r>
        <w:rPr>
          <w:color w:val="auto"/>
          <w:sz w:val="32"/>
          <w:szCs w:val="32"/>
        </w:rPr>
        <w:t>开展畜禽养殖标准化示范场创建活动，</w:t>
      </w:r>
      <w:r>
        <w:rPr>
          <w:rFonts w:hint="eastAsia"/>
          <w:color w:val="auto"/>
          <w:sz w:val="32"/>
          <w:szCs w:val="32"/>
          <w:lang w:eastAsia="zh-CN"/>
        </w:rPr>
        <w:t>实现</w:t>
      </w:r>
      <w:r>
        <w:rPr>
          <w:color w:val="auto"/>
          <w:sz w:val="32"/>
          <w:szCs w:val="32"/>
        </w:rPr>
        <w:t>畜禽养殖标准化</w:t>
      </w:r>
      <w:r>
        <w:rPr>
          <w:rFonts w:hint="eastAsia"/>
          <w:color w:val="auto"/>
          <w:sz w:val="32"/>
          <w:szCs w:val="32"/>
          <w:lang w:eastAsia="zh-CN"/>
        </w:rPr>
        <w:t>生产，</w:t>
      </w:r>
      <w:r>
        <w:rPr>
          <w:sz w:val="32"/>
          <w:szCs w:val="32"/>
        </w:rPr>
        <w:t>提升畜牧业现代化</w:t>
      </w:r>
      <w:r>
        <w:rPr>
          <w:rFonts w:hint="eastAsia"/>
          <w:sz w:val="32"/>
          <w:szCs w:val="32"/>
          <w:lang w:eastAsia="zh-CN"/>
        </w:rPr>
        <w:t>发展</w:t>
      </w:r>
      <w:r>
        <w:rPr>
          <w:sz w:val="32"/>
          <w:szCs w:val="32"/>
        </w:rPr>
        <w:t>水平。到2025年，畜禽养殖</w:t>
      </w:r>
      <w:r>
        <w:rPr>
          <w:rFonts w:hint="eastAsia"/>
          <w:sz w:val="32"/>
          <w:szCs w:val="32"/>
        </w:rPr>
        <w:t>规模化率</w:t>
      </w:r>
      <w:r>
        <w:rPr>
          <w:sz w:val="32"/>
          <w:szCs w:val="32"/>
        </w:rPr>
        <w:t>达到</w:t>
      </w:r>
      <w:r>
        <w:rPr>
          <w:rFonts w:hint="eastAsia"/>
          <w:sz w:val="32"/>
          <w:szCs w:val="32"/>
        </w:rPr>
        <w:t>70%</w:t>
      </w:r>
      <w:r>
        <w:rPr>
          <w:sz w:val="32"/>
          <w:szCs w:val="32"/>
        </w:rPr>
        <w:t>以上</w:t>
      </w:r>
      <w:r>
        <w:rPr>
          <w:rFonts w:hint="eastAsia"/>
          <w:sz w:val="32"/>
          <w:szCs w:val="32"/>
        </w:rPr>
        <w:t>。</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sz w:val="32"/>
          <w:szCs w:val="32"/>
        </w:rPr>
      </w:pPr>
      <w:r>
        <w:rPr>
          <w:rFonts w:hint="eastAsia" w:ascii="仿宋_GB2312" w:hAnsi="仿宋_GB2312" w:eastAsia="仿宋_GB2312" w:cs="仿宋_GB2312"/>
          <w:b w:val="0"/>
          <w:bCs w:val="0"/>
          <w:sz w:val="32"/>
          <w:szCs w:val="32"/>
        </w:rPr>
        <w:t>立体生态水产养殖技术。</w:t>
      </w:r>
      <w:r>
        <w:rPr>
          <w:rFonts w:hint="eastAsia"/>
          <w:sz w:val="32"/>
          <w:szCs w:val="32"/>
        </w:rPr>
        <w:t>推进池塘标准化建设，推广应用物联网技术，提升水产养殖规模化、集约化、可控化水平。</w:t>
      </w:r>
      <w:bookmarkStart w:id="224" w:name="OLE_LINK5"/>
      <w:r>
        <w:rPr>
          <w:rFonts w:hint="eastAsia"/>
          <w:sz w:val="32"/>
          <w:szCs w:val="32"/>
        </w:rPr>
        <w:t>推广循环水养殖、</w:t>
      </w:r>
      <w:bookmarkStart w:id="225" w:name="OLE_LINK7"/>
      <w:r>
        <w:rPr>
          <w:rFonts w:hint="eastAsia"/>
          <w:sz w:val="32"/>
          <w:szCs w:val="32"/>
          <w:lang w:eastAsia="zh-CN"/>
        </w:rPr>
        <w:t>稻渔综合种养、鱼菜生态种养</w:t>
      </w:r>
      <w:bookmarkEnd w:id="225"/>
      <w:r>
        <w:rPr>
          <w:rFonts w:hint="eastAsia"/>
          <w:sz w:val="32"/>
          <w:szCs w:val="32"/>
        </w:rPr>
        <w:t>、池塘工程化循环水养殖等健康养殖模式，提高养殖产品质量和效益。</w:t>
      </w:r>
      <w:r>
        <w:rPr>
          <w:rFonts w:hint="eastAsia"/>
          <w:sz w:val="32"/>
          <w:szCs w:val="32"/>
          <w:lang w:eastAsia="zh-CN"/>
        </w:rPr>
        <w:t>鼓励水产养殖节水减排改造，落实养殖尾水治理措施，逐步淘汰废水超标排放的养殖方式</w:t>
      </w:r>
      <w:r>
        <w:rPr>
          <w:rFonts w:hint="eastAsia"/>
          <w:sz w:val="32"/>
          <w:szCs w:val="32"/>
        </w:rPr>
        <w:t>。</w:t>
      </w:r>
      <w:bookmarkEnd w:id="224"/>
      <w:r>
        <w:rPr>
          <w:rFonts w:hint="eastAsia"/>
          <w:sz w:val="32"/>
          <w:szCs w:val="32"/>
        </w:rPr>
        <w:t>到2025年，</w:t>
      </w:r>
      <w:r>
        <w:rPr>
          <w:rFonts w:hint="eastAsia"/>
          <w:color w:val="auto"/>
          <w:sz w:val="32"/>
          <w:szCs w:val="32"/>
        </w:rPr>
        <w:t>推广水产绿色生产模式6个以上，全区水产养殖规模化率达到71%以上，全区渔业面积稳定在50万亩，水产品产量达到18万吨以上</w:t>
      </w:r>
      <w:r>
        <w:rPr>
          <w:color w:val="auto"/>
          <w:sz w:val="32"/>
          <w:szCs w:val="32"/>
        </w:rPr>
        <w:t>。</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sz w:val="32"/>
          <w:szCs w:val="32"/>
        </w:rPr>
      </w:pPr>
      <w:r>
        <w:rPr>
          <w:rFonts w:hint="eastAsia" w:ascii="仿宋_GB2312" w:hAnsi="仿宋_GB2312" w:eastAsia="仿宋_GB2312" w:cs="仿宋_GB2312"/>
          <w:b w:val="0"/>
          <w:bCs w:val="0"/>
          <w:sz w:val="32"/>
          <w:szCs w:val="32"/>
        </w:rPr>
        <w:t>农业数字化转型升级。</w:t>
      </w:r>
      <w:r>
        <w:rPr>
          <w:rFonts w:hint="eastAsia"/>
          <w:sz w:val="32"/>
          <w:szCs w:val="32"/>
        </w:rPr>
        <w:t>加快建设绿色农业大数据平台，立足耕地、永久基本农田、水资源等资源现状，聚焦</w:t>
      </w:r>
      <w:r>
        <w:rPr>
          <w:rFonts w:hint="eastAsia"/>
          <w:sz w:val="32"/>
          <w:szCs w:val="32"/>
          <w:lang w:eastAsia="zh-CN"/>
        </w:rPr>
        <w:t>枸杞、</w:t>
      </w:r>
      <w:r>
        <w:rPr>
          <w:rFonts w:hint="eastAsia"/>
          <w:sz w:val="32"/>
          <w:szCs w:val="32"/>
        </w:rPr>
        <w:t>葡萄酒、奶产业、肉牛和滩羊、绿色食品等</w:t>
      </w:r>
      <w:r>
        <w:rPr>
          <w:rFonts w:hint="eastAsia"/>
          <w:sz w:val="32"/>
          <w:szCs w:val="32"/>
          <w:lang w:eastAsia="zh-CN"/>
        </w:rPr>
        <w:t>重点</w:t>
      </w:r>
      <w:r>
        <w:rPr>
          <w:rFonts w:hint="eastAsia"/>
          <w:sz w:val="32"/>
          <w:szCs w:val="32"/>
        </w:rPr>
        <w:t>产业，汇集资源、生产、经营、服务等基础数据，建立农业特色产业数据库，提升绿色农业数字化水平。加快智慧农业技术推广，引导种养殖园区充分利用物联网、</w:t>
      </w:r>
      <w:r>
        <w:rPr>
          <w:rFonts w:hint="eastAsia"/>
          <w:sz w:val="32"/>
          <w:szCs w:val="32"/>
          <w:lang w:eastAsia="zh-CN"/>
        </w:rPr>
        <w:t>“</w:t>
      </w:r>
      <w:r>
        <w:rPr>
          <w:rFonts w:hint="eastAsia"/>
          <w:sz w:val="32"/>
          <w:szCs w:val="32"/>
        </w:rPr>
        <w:t>互联网</w:t>
      </w:r>
      <w:r>
        <w:rPr>
          <w:rFonts w:hint="eastAsia"/>
          <w:sz w:val="32"/>
          <w:szCs w:val="32"/>
          <w:lang w:val="en-US" w:eastAsia="zh-CN"/>
        </w:rPr>
        <w:t>+</w:t>
      </w:r>
      <w:r>
        <w:rPr>
          <w:rFonts w:hint="eastAsia"/>
          <w:sz w:val="32"/>
          <w:szCs w:val="32"/>
        </w:rPr>
        <w:t>5G</w:t>
      </w:r>
      <w:r>
        <w:rPr>
          <w:rFonts w:hint="eastAsia"/>
          <w:sz w:val="32"/>
          <w:szCs w:val="32"/>
          <w:lang w:eastAsia="zh-CN"/>
        </w:rPr>
        <w:t>”</w:t>
      </w:r>
      <w:r>
        <w:rPr>
          <w:rFonts w:hint="eastAsia"/>
          <w:sz w:val="32"/>
          <w:szCs w:val="32"/>
        </w:rPr>
        <w:t>、人工智能、大数据等现代信息技术，建设一批智慧农机、智慧设施园区、智慧牧场、智慧渔场、智慧灌溉等数字农业示范点，提升农业生产经营精准化、数字化、智能化水平。加快农业数字化基础设施建设，推进</w:t>
      </w:r>
      <w:r>
        <w:rPr>
          <w:sz w:val="32"/>
          <w:szCs w:val="32"/>
        </w:rPr>
        <w:t>农村信息通信网络</w:t>
      </w:r>
      <w:r>
        <w:rPr>
          <w:rFonts w:hint="eastAsia"/>
          <w:sz w:val="32"/>
          <w:szCs w:val="32"/>
        </w:rPr>
        <w:t>、农业</w:t>
      </w:r>
      <w:r>
        <w:rPr>
          <w:sz w:val="32"/>
          <w:szCs w:val="32"/>
        </w:rPr>
        <w:t>智能装备</w:t>
      </w:r>
      <w:r>
        <w:rPr>
          <w:rFonts w:hint="eastAsia"/>
          <w:sz w:val="32"/>
          <w:szCs w:val="32"/>
        </w:rPr>
        <w:t>等</w:t>
      </w:r>
      <w:r>
        <w:rPr>
          <w:sz w:val="32"/>
          <w:szCs w:val="32"/>
        </w:rPr>
        <w:t>信息化基础设施</w:t>
      </w:r>
      <w:r>
        <w:rPr>
          <w:rFonts w:hint="eastAsia"/>
          <w:sz w:val="32"/>
          <w:szCs w:val="32"/>
        </w:rPr>
        <w:t>改造提升，推动“</w:t>
      </w:r>
      <w:r>
        <w:rPr>
          <w:sz w:val="32"/>
          <w:szCs w:val="32"/>
        </w:rPr>
        <w:t>互联网＋现代农业</w:t>
      </w:r>
      <w:r>
        <w:rPr>
          <w:rFonts w:hint="eastAsia"/>
          <w:sz w:val="32"/>
          <w:szCs w:val="32"/>
        </w:rPr>
        <w:t>”</w:t>
      </w:r>
      <w:r>
        <w:rPr>
          <w:sz w:val="32"/>
          <w:szCs w:val="32"/>
        </w:rPr>
        <w:t>创新发展</w:t>
      </w:r>
      <w:r>
        <w:rPr>
          <w:rFonts w:hint="eastAsia"/>
          <w:sz w:val="32"/>
          <w:szCs w:val="32"/>
        </w:rPr>
        <w:t>，建立广覆盖、多功能、便捷化的信息服务体系，加大对水、电、气、社保、医疗、教育、养老等农村基本公共服务的集成，推进乡村数字化治理。到2025年，规模化种养基地农业物联网应用达到25%。</w:t>
      </w:r>
    </w:p>
    <w:p>
      <w:pPr>
        <w:pStyle w:val="4"/>
        <w:keepNext/>
        <w:keepLines/>
        <w:pageBreakBefore w:val="0"/>
        <w:widowControl w:val="0"/>
        <w:kinsoku/>
        <w:wordWrap/>
        <w:overflowPunct/>
        <w:topLinePunct w:val="0"/>
        <w:autoSpaceDE/>
        <w:autoSpaceDN/>
        <w:bidi w:val="0"/>
        <w:adjustRightInd/>
        <w:snapToGrid/>
        <w:spacing w:before="260" w:after="260" w:line="240" w:lineRule="auto"/>
        <w:ind w:left="0" w:leftChars="0" w:right="0" w:rightChars="0" w:firstLine="0" w:firstLineChars="0"/>
        <w:jc w:val="center"/>
        <w:textAlignment w:val="auto"/>
        <w:outlineLvl w:val="1"/>
        <w:rPr>
          <w:rFonts w:hint="eastAsia" w:ascii="楷体_GB2312" w:hAnsi="楷体_GB2312" w:eastAsia="楷体_GB2312" w:cs="楷体_GB2312"/>
          <w:b/>
          <w:bCs/>
          <w:sz w:val="32"/>
          <w:szCs w:val="32"/>
        </w:rPr>
      </w:pPr>
      <w:bookmarkStart w:id="226" w:name="_Toc28619"/>
      <w:bookmarkStart w:id="227" w:name="_Toc64884477"/>
      <w:bookmarkStart w:id="228" w:name="_Toc2702"/>
      <w:bookmarkStart w:id="229" w:name="_Toc10968"/>
      <w:r>
        <w:rPr>
          <w:rFonts w:hint="eastAsia" w:ascii="楷体_GB2312" w:hAnsi="楷体_GB2312" w:eastAsia="楷体_GB2312" w:cs="楷体_GB2312"/>
          <w:b/>
          <w:bCs/>
          <w:sz w:val="32"/>
          <w:szCs w:val="32"/>
          <w:lang w:eastAsia="zh-CN"/>
        </w:rPr>
        <w:t>第二节</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构建绿色农业科技支撑体系</w:t>
      </w:r>
      <w:bookmarkEnd w:id="226"/>
      <w:bookmarkEnd w:id="227"/>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sz w:val="32"/>
          <w:szCs w:val="32"/>
        </w:rPr>
      </w:pPr>
      <w:r>
        <w:rPr>
          <w:rFonts w:hint="eastAsia" w:ascii="仿宋_GB2312" w:hAnsi="仿宋_GB2312" w:eastAsia="仿宋_GB2312" w:cs="仿宋_GB2312"/>
          <w:b w:val="0"/>
          <w:bCs w:val="0"/>
          <w:sz w:val="32"/>
          <w:szCs w:val="32"/>
        </w:rPr>
        <w:t>创新开展基层农技推广服务。</w:t>
      </w:r>
      <w:r>
        <w:rPr>
          <w:rFonts w:hint="eastAsia"/>
          <w:b w:val="0"/>
          <w:bCs/>
          <w:sz w:val="32"/>
          <w:szCs w:val="32"/>
        </w:rPr>
        <w:t>加强绿色技术推广</w:t>
      </w:r>
      <w:r>
        <w:rPr>
          <w:rFonts w:hint="eastAsia"/>
          <w:b w:val="0"/>
          <w:bCs/>
          <w:sz w:val="32"/>
          <w:szCs w:val="32"/>
          <w:lang w:eastAsia="zh-CN"/>
        </w:rPr>
        <w:t>，</w:t>
      </w:r>
      <w:r>
        <w:rPr>
          <w:rFonts w:hint="eastAsia"/>
          <w:sz w:val="32"/>
          <w:szCs w:val="32"/>
        </w:rPr>
        <w:t>充分发挥在农业新品种、新技术、新装备试验、示范、推广主渠道作用，强化农业绿色技术科技推广，提高技术集成度、普及率和到位率。</w:t>
      </w:r>
      <w:r>
        <w:rPr>
          <w:rFonts w:hint="eastAsia"/>
          <w:b w:val="0"/>
          <w:bCs/>
          <w:sz w:val="32"/>
          <w:szCs w:val="32"/>
        </w:rPr>
        <w:t>健全</w:t>
      </w:r>
      <w:r>
        <w:rPr>
          <w:b w:val="0"/>
          <w:bCs/>
          <w:sz w:val="32"/>
          <w:szCs w:val="32"/>
        </w:rPr>
        <w:t>基层农技推广机构</w:t>
      </w:r>
      <w:r>
        <w:rPr>
          <w:rFonts w:hint="eastAsia"/>
          <w:b w:val="0"/>
          <w:bCs/>
          <w:sz w:val="32"/>
          <w:szCs w:val="32"/>
          <w:lang w:eastAsia="zh-CN"/>
        </w:rPr>
        <w:t>，</w:t>
      </w:r>
      <w:r>
        <w:rPr>
          <w:rFonts w:hint="eastAsia"/>
          <w:sz w:val="32"/>
          <w:szCs w:val="32"/>
        </w:rPr>
        <w:t>以县、乡（镇）为重点，配足配强农技推广人员，</w:t>
      </w:r>
      <w:r>
        <w:rPr>
          <w:sz w:val="32"/>
          <w:szCs w:val="32"/>
        </w:rPr>
        <w:t>配备必须的</w:t>
      </w:r>
      <w:r>
        <w:rPr>
          <w:rFonts w:hint="eastAsia"/>
          <w:sz w:val="32"/>
          <w:szCs w:val="32"/>
        </w:rPr>
        <w:t>试验</w:t>
      </w:r>
      <w:r>
        <w:rPr>
          <w:sz w:val="32"/>
          <w:szCs w:val="32"/>
        </w:rPr>
        <w:t>示范条件和技术服务设施装备</w:t>
      </w:r>
      <w:r>
        <w:rPr>
          <w:rFonts w:hint="eastAsia"/>
          <w:sz w:val="32"/>
          <w:szCs w:val="32"/>
        </w:rPr>
        <w:t>，建设绿色发展示范园区，</w:t>
      </w:r>
      <w:r>
        <w:rPr>
          <w:sz w:val="32"/>
          <w:szCs w:val="32"/>
        </w:rPr>
        <w:t>加强绿色增产</w:t>
      </w:r>
      <w:r>
        <w:rPr>
          <w:rFonts w:hint="eastAsia"/>
          <w:sz w:val="32"/>
          <w:szCs w:val="32"/>
        </w:rPr>
        <w:t>、</w:t>
      </w:r>
      <w:r>
        <w:rPr>
          <w:sz w:val="32"/>
          <w:szCs w:val="32"/>
        </w:rPr>
        <w:t>生态环保</w:t>
      </w:r>
      <w:r>
        <w:rPr>
          <w:rFonts w:hint="eastAsia"/>
          <w:sz w:val="32"/>
          <w:szCs w:val="32"/>
        </w:rPr>
        <w:t>、</w:t>
      </w:r>
      <w:r>
        <w:rPr>
          <w:sz w:val="32"/>
          <w:szCs w:val="32"/>
        </w:rPr>
        <w:t>质量安全等领域重大关键技术示范推广。</w:t>
      </w:r>
      <w:r>
        <w:rPr>
          <w:b w:val="0"/>
          <w:bCs/>
          <w:sz w:val="32"/>
          <w:szCs w:val="32"/>
        </w:rPr>
        <w:t>创新</w:t>
      </w:r>
      <w:r>
        <w:rPr>
          <w:rFonts w:hint="eastAsia"/>
          <w:b w:val="0"/>
          <w:bCs/>
          <w:sz w:val="32"/>
          <w:szCs w:val="32"/>
        </w:rPr>
        <w:t>开展</w:t>
      </w:r>
      <w:r>
        <w:rPr>
          <w:b w:val="0"/>
          <w:bCs/>
          <w:sz w:val="32"/>
          <w:szCs w:val="32"/>
        </w:rPr>
        <w:t>农</w:t>
      </w:r>
      <w:r>
        <w:rPr>
          <w:rFonts w:hint="eastAsia"/>
          <w:b w:val="0"/>
          <w:bCs/>
          <w:sz w:val="32"/>
          <w:szCs w:val="32"/>
        </w:rPr>
        <w:t>技推广服务</w:t>
      </w:r>
      <w:r>
        <w:rPr>
          <w:rFonts w:hint="eastAsia"/>
          <w:b w:val="0"/>
          <w:bCs/>
          <w:sz w:val="32"/>
          <w:szCs w:val="32"/>
          <w:lang w:eastAsia="zh-CN"/>
        </w:rPr>
        <w:t>，</w:t>
      </w:r>
      <w:r>
        <w:rPr>
          <w:rFonts w:hint="eastAsia"/>
          <w:sz w:val="32"/>
          <w:szCs w:val="32"/>
        </w:rPr>
        <w:t>鼓励</w:t>
      </w:r>
      <w:r>
        <w:rPr>
          <w:sz w:val="32"/>
          <w:szCs w:val="32"/>
        </w:rPr>
        <w:t>基层农技人员进入家庭农场</w:t>
      </w:r>
      <w:r>
        <w:rPr>
          <w:rFonts w:hint="eastAsia"/>
          <w:sz w:val="32"/>
          <w:szCs w:val="32"/>
        </w:rPr>
        <w:t>、</w:t>
      </w:r>
      <w:r>
        <w:rPr>
          <w:sz w:val="32"/>
          <w:szCs w:val="32"/>
        </w:rPr>
        <w:t>合作社和农业企业</w:t>
      </w:r>
      <w:r>
        <w:rPr>
          <w:rFonts w:hint="eastAsia"/>
          <w:sz w:val="32"/>
          <w:szCs w:val="32"/>
        </w:rPr>
        <w:t>，</w:t>
      </w:r>
      <w:r>
        <w:rPr>
          <w:sz w:val="32"/>
          <w:szCs w:val="32"/>
        </w:rPr>
        <w:t>为小农户和新型农业经营主体提供全程化</w:t>
      </w:r>
      <w:r>
        <w:rPr>
          <w:rFonts w:hint="eastAsia"/>
          <w:sz w:val="32"/>
          <w:szCs w:val="32"/>
        </w:rPr>
        <w:t>、</w:t>
      </w:r>
      <w:r>
        <w:rPr>
          <w:sz w:val="32"/>
          <w:szCs w:val="32"/>
        </w:rPr>
        <w:t>精准化</w:t>
      </w:r>
      <w:r>
        <w:rPr>
          <w:rFonts w:hint="eastAsia"/>
          <w:sz w:val="32"/>
          <w:szCs w:val="32"/>
        </w:rPr>
        <w:t>、</w:t>
      </w:r>
      <w:r>
        <w:rPr>
          <w:sz w:val="32"/>
          <w:szCs w:val="32"/>
        </w:rPr>
        <w:t>个性化绿色生产技术服务</w:t>
      </w:r>
      <w:r>
        <w:rPr>
          <w:rFonts w:hint="eastAsia"/>
          <w:sz w:val="32"/>
          <w:szCs w:val="32"/>
        </w:rPr>
        <w:t>。</w:t>
      </w:r>
      <w:r>
        <w:rPr>
          <w:rFonts w:hint="eastAsia"/>
          <w:b w:val="0"/>
          <w:bCs/>
          <w:sz w:val="32"/>
          <w:szCs w:val="32"/>
        </w:rPr>
        <w:t>优化农技推广考核</w:t>
      </w:r>
      <w:r>
        <w:rPr>
          <w:b w:val="0"/>
          <w:bCs/>
          <w:sz w:val="32"/>
          <w:szCs w:val="32"/>
        </w:rPr>
        <w:t>指标体系</w:t>
      </w:r>
      <w:r>
        <w:rPr>
          <w:rFonts w:hint="eastAsia"/>
          <w:b w:val="0"/>
          <w:bCs/>
          <w:sz w:val="32"/>
          <w:szCs w:val="32"/>
          <w:lang w:eastAsia="zh-CN"/>
        </w:rPr>
        <w:t>，</w:t>
      </w:r>
      <w:r>
        <w:rPr>
          <w:sz w:val="32"/>
          <w:szCs w:val="32"/>
        </w:rPr>
        <w:t>将绿色技术推广服务纳入绩效考核</w:t>
      </w:r>
      <w:r>
        <w:rPr>
          <w:rFonts w:hint="eastAsia"/>
          <w:sz w:val="32"/>
          <w:szCs w:val="32"/>
        </w:rPr>
        <w:t>内容，开展农业绿色科技推广技术评估</w:t>
      </w:r>
      <w:r>
        <w:rPr>
          <w:sz w:val="32"/>
          <w:szCs w:val="32"/>
        </w:rPr>
        <w:t>。</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sz w:val="32"/>
          <w:szCs w:val="32"/>
        </w:rPr>
      </w:pPr>
      <w:r>
        <w:rPr>
          <w:rFonts w:hint="eastAsia" w:ascii="仿宋_GB2312" w:hAnsi="仿宋_GB2312" w:eastAsia="仿宋_GB2312" w:cs="仿宋_GB2312"/>
          <w:b w:val="0"/>
          <w:bCs w:val="0"/>
          <w:sz w:val="32"/>
          <w:szCs w:val="32"/>
        </w:rPr>
        <w:t>培育壮大新型农业经营主体。</w:t>
      </w:r>
      <w:r>
        <w:rPr>
          <w:rFonts w:hint="eastAsia"/>
          <w:sz w:val="32"/>
          <w:szCs w:val="32"/>
        </w:rPr>
        <w:t>实施新型经营主体提升工程，扩大农民合作社质量提升整县推进试点，持续培育壮大农民合作社、家庭农场，推广“龙头企业＋合作社（家庭农场）＋基地＋农户”的模式，通过土地、资金、技术等要素间联合合作建立产业化联合体，发展适度规模经营，开展绿色生产，延长产业链、形成利益链、建立服务链，推进小农户与现代农业有效衔接。到2025年，培育自治区示范家庭农场和示范农民合作社200家</w:t>
      </w:r>
      <w:r>
        <w:rPr>
          <w:rFonts w:hint="eastAsia"/>
          <w:color w:val="auto"/>
          <w:sz w:val="32"/>
          <w:szCs w:val="32"/>
        </w:rPr>
        <w:t>以上</w:t>
      </w:r>
      <w:r>
        <w:rPr>
          <w:rFonts w:hint="eastAsia"/>
          <w:sz w:val="32"/>
          <w:szCs w:val="32"/>
        </w:rPr>
        <w:t>，农业产业化联合体30家以上，农业社会化服务机构300家以上。</w:t>
      </w:r>
    </w:p>
    <w:p>
      <w:pPr>
        <w:pStyle w:val="32"/>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Fonts w:hint="eastAsia" w:ascii="仿宋_GB2312" w:hAnsi="仿宋_GB2312" w:cs="仿宋_GB2312"/>
          <w:sz w:val="32"/>
          <w:szCs w:val="32"/>
        </w:rPr>
      </w:pPr>
      <w:r>
        <w:rPr>
          <w:rFonts w:hint="eastAsia" w:ascii="仿宋_GB2312" w:hAnsi="仿宋_GB2312" w:eastAsia="仿宋_GB2312" w:cs="仿宋_GB2312"/>
          <w:b w:val="0"/>
          <w:bCs w:val="0"/>
          <w:sz w:val="32"/>
          <w:szCs w:val="32"/>
        </w:rPr>
        <w:t>培养壮大人才队伍。</w:t>
      </w:r>
      <w:r>
        <w:rPr>
          <w:rFonts w:hint="eastAsia"/>
          <w:sz w:val="32"/>
          <w:szCs w:val="32"/>
        </w:rPr>
        <w:t>创新绿色技术推广人才培养模式，加快培养农业绿色生产高素质应用型人才。加强基层农技推广人员培养，以乡镇农技人员为重点，加强绿色农业实用技术培训，提高农技人员服务水平。加强新型农业经营主体带头人培养，以农业社会化综合服务站、专业合作社、家庭农场、农业企业负责人为重点，强化绿色技术理论教学和实践操作，提高绿色发展意识和技能。加强农村实用人才培养，依托高素质农民培训计划，以村级</w:t>
      </w:r>
      <w:r>
        <w:rPr>
          <w:rFonts w:hint="eastAsia"/>
          <w:sz w:val="32"/>
          <w:szCs w:val="32"/>
          <w:lang w:eastAsia="zh-CN"/>
        </w:rPr>
        <w:t>“</w:t>
      </w:r>
      <w:r>
        <w:rPr>
          <w:rFonts w:hint="eastAsia"/>
          <w:sz w:val="32"/>
          <w:szCs w:val="32"/>
        </w:rPr>
        <w:t>两个带头人</w:t>
      </w:r>
      <w:r>
        <w:rPr>
          <w:rFonts w:hint="eastAsia"/>
          <w:sz w:val="32"/>
          <w:szCs w:val="32"/>
          <w:lang w:eastAsia="zh-CN"/>
        </w:rPr>
        <w:t>”</w:t>
      </w:r>
      <w:r>
        <w:rPr>
          <w:rFonts w:hint="eastAsia"/>
          <w:sz w:val="32"/>
          <w:szCs w:val="32"/>
        </w:rPr>
        <w:t>为重点，加大绿色技术培训力度，提高绿色技术水平。</w:t>
      </w:r>
      <w:r>
        <w:rPr>
          <w:rFonts w:hint="eastAsia" w:ascii="仿宋_GB2312" w:hAnsi="仿宋_GB2312" w:eastAsia="仿宋_GB2312" w:cs="仿宋_GB2312"/>
          <w:b w:val="0"/>
          <w:bCs w:val="0"/>
          <w:sz w:val="32"/>
          <w:szCs w:val="32"/>
          <w:lang w:val="en-US" w:eastAsia="zh-CN"/>
        </w:rPr>
        <w:t>发挥高等院校、科研院所作用，强化与市县科技、农技部门及新型经营主体合作，在生产一线建立科研基地、实训基地，开展绿色技术培训与推广，强化本地化人才培养</w:t>
      </w:r>
      <w:r>
        <w:rPr>
          <w:rFonts w:hint="eastAsia" w:ascii="仿宋_GB2312" w:hAnsi="仿宋_GB2312" w:cs="仿宋_GB2312"/>
          <w:sz w:val="32"/>
          <w:szCs w:val="32"/>
        </w:rPr>
        <w:t>。</w:t>
      </w:r>
    </w:p>
    <w:p>
      <w:pPr>
        <w:pStyle w:val="32"/>
        <w:spacing w:beforeLines="0" w:afterLines="0" w:line="340" w:lineRule="exact"/>
        <w:ind w:firstLine="560"/>
        <w:rPr>
          <w:rFonts w:hint="eastAsia" w:ascii="仿宋_GB2312" w:hAnsi="仿宋_GB2312" w:cs="仿宋_GB2312"/>
          <w:sz w:val="28"/>
          <w:szCs w:val="28"/>
        </w:rPr>
      </w:pPr>
    </w:p>
    <w:tbl>
      <w:tblPr>
        <w:tblStyle w:val="16"/>
        <w:tblW w:w="876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6" w:type="dxa"/>
          </w:tcPr>
          <w:p>
            <w:pPr>
              <w:widowControl/>
              <w:jc w:val="center"/>
              <w:rPr>
                <w:szCs w:val="21"/>
              </w:rPr>
            </w:pPr>
            <w:r>
              <w:rPr>
                <w:rFonts w:hint="eastAsia" w:ascii="黑体" w:hAnsi="黑体" w:eastAsia="黑体" w:cs="黑体"/>
                <w:b w:val="0"/>
                <w:bCs w:val="0"/>
                <w:kern w:val="0"/>
                <w:sz w:val="22"/>
                <w:szCs w:val="22"/>
              </w:rPr>
              <w:t>专栏</w:t>
            </w:r>
            <w:r>
              <w:rPr>
                <w:rFonts w:hint="eastAsia" w:ascii="黑体" w:hAnsi="黑体" w:eastAsia="黑体" w:cs="黑体"/>
                <w:b w:val="0"/>
                <w:bCs w:val="0"/>
                <w:kern w:val="0"/>
                <w:sz w:val="22"/>
                <w:szCs w:val="22"/>
                <w:lang w:val="en-US" w:eastAsia="zh-CN"/>
              </w:rPr>
              <w:t xml:space="preserve">5 </w:t>
            </w:r>
            <w:r>
              <w:rPr>
                <w:rFonts w:hint="eastAsia" w:ascii="黑体" w:hAnsi="黑体" w:eastAsia="黑体" w:cs="黑体"/>
                <w:b w:val="0"/>
                <w:bCs w:val="0"/>
                <w:kern w:val="0"/>
                <w:sz w:val="22"/>
                <w:szCs w:val="22"/>
              </w:rPr>
              <w:t>农业绿色发展科技支撑项目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766" w:type="dxa"/>
          </w:tcPr>
          <w:p>
            <w:pPr>
              <w:pStyle w:val="14"/>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jc w:val="both"/>
              <w:textAlignment w:val="auto"/>
              <w:outlineLvl w:val="9"/>
              <w:rPr>
                <w:rFonts w:hint="eastAsia" w:ascii="仿宋_GB2312" w:hAnsi="仿宋_GB2312" w:eastAsia="仿宋_GB2312" w:cs="仿宋_GB2312"/>
                <w:b w:val="0"/>
                <w:bCs/>
                <w:color w:val="FF0000"/>
                <w:sz w:val="22"/>
                <w:szCs w:val="22"/>
              </w:rPr>
            </w:pPr>
            <w:r>
              <w:rPr>
                <w:rFonts w:hint="eastAsia" w:ascii="楷体_GB2312" w:hAnsi="楷体_GB2312" w:eastAsia="楷体_GB2312" w:cs="楷体_GB2312"/>
                <w:b/>
                <w:bCs/>
                <w:sz w:val="22"/>
                <w:szCs w:val="22"/>
              </w:rPr>
              <w:t>1.农业绿色高质高效行动</w:t>
            </w:r>
            <w:r>
              <w:rPr>
                <w:rFonts w:hint="eastAsia" w:ascii="楷体_GB2312" w:hAnsi="楷体_GB2312" w:eastAsia="楷体_GB2312" w:cs="楷体_GB2312"/>
                <w:sz w:val="22"/>
                <w:szCs w:val="22"/>
              </w:rPr>
              <w:t>。</w:t>
            </w:r>
            <w:r>
              <w:rPr>
                <w:rFonts w:hint="eastAsia" w:ascii="仿宋_GB2312" w:hAnsi="仿宋_GB2312" w:eastAsia="仿宋_GB2312" w:cs="仿宋_GB2312"/>
                <w:b w:val="0"/>
                <w:bCs/>
                <w:sz w:val="22"/>
                <w:szCs w:val="22"/>
              </w:rPr>
              <w:t>开展绿色高质高效示范创建，强化技术联合攻关，推广绿色技术集成应用，开展创新研发应用土壤改良培肥、节水节肥节药、废弃物循环利用、绿色加工等农业绿色生产技术，整县制推进粮食、蔬菜稳产高产、节本增效、提质增效</w:t>
            </w:r>
            <w:r>
              <w:rPr>
                <w:rFonts w:hint="eastAsia" w:ascii="仿宋_GB2312" w:hAnsi="仿宋_GB2312" w:eastAsia="仿宋_GB2312" w:cs="仿宋_GB2312"/>
                <w:b w:val="0"/>
                <w:bCs/>
                <w:color w:val="auto"/>
                <w:sz w:val="22"/>
                <w:szCs w:val="22"/>
              </w:rPr>
              <w:t>。到</w:t>
            </w:r>
            <w:r>
              <w:rPr>
                <w:rFonts w:hint="eastAsia" w:ascii="Times New Roman" w:hAnsi="Times New Roman" w:eastAsia="仿宋_GB2312" w:cs="Times New Roman"/>
                <w:b w:val="0"/>
                <w:bCs/>
                <w:color w:val="auto"/>
                <w:sz w:val="22"/>
                <w:szCs w:val="22"/>
              </w:rPr>
              <w:t>2025</w:t>
            </w:r>
            <w:r>
              <w:rPr>
                <w:rFonts w:hint="eastAsia" w:ascii="仿宋_GB2312" w:hAnsi="仿宋_GB2312" w:eastAsia="仿宋_GB2312" w:cs="仿宋_GB2312"/>
                <w:b w:val="0"/>
                <w:bCs/>
                <w:color w:val="auto"/>
                <w:sz w:val="22"/>
                <w:szCs w:val="22"/>
              </w:rPr>
              <w:t>年，创建绿色高质高效示范县</w:t>
            </w:r>
            <w:r>
              <w:rPr>
                <w:rFonts w:hint="default" w:ascii="Times New Roman" w:hAnsi="Times New Roman" w:eastAsia="仿宋_GB2312" w:cs="Times New Roman"/>
                <w:b w:val="0"/>
                <w:bCs/>
                <w:color w:val="auto"/>
                <w:sz w:val="22"/>
                <w:szCs w:val="22"/>
              </w:rPr>
              <w:t>8</w:t>
            </w:r>
            <w:r>
              <w:rPr>
                <w:rFonts w:hint="eastAsia" w:ascii="仿宋_GB2312" w:hAnsi="仿宋_GB2312" w:eastAsia="仿宋_GB2312" w:cs="仿宋_GB2312"/>
                <w:b w:val="0"/>
                <w:bCs/>
                <w:color w:val="auto"/>
                <w:sz w:val="22"/>
                <w:szCs w:val="22"/>
              </w:rPr>
              <w:t>个，每年建设优质粮食绿色高质高效技术模式示范点</w:t>
            </w:r>
            <w:r>
              <w:rPr>
                <w:rFonts w:hint="eastAsia" w:ascii="Times New Roman" w:hAnsi="Times New Roman" w:eastAsia="仿宋_GB2312" w:cs="Times New Roman"/>
                <w:b w:val="0"/>
                <w:bCs/>
                <w:color w:val="auto"/>
                <w:sz w:val="22"/>
                <w:szCs w:val="22"/>
              </w:rPr>
              <w:t>20</w:t>
            </w:r>
            <w:r>
              <w:rPr>
                <w:rFonts w:hint="eastAsia" w:ascii="仿宋_GB2312" w:hAnsi="仿宋_GB2312" w:eastAsia="仿宋_GB2312" w:cs="仿宋_GB2312"/>
                <w:b w:val="0"/>
                <w:bCs/>
                <w:color w:val="auto"/>
                <w:sz w:val="22"/>
                <w:szCs w:val="22"/>
              </w:rPr>
              <w:t>个。</w:t>
            </w:r>
          </w:p>
          <w:p>
            <w:pPr>
              <w:pStyle w:val="14"/>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jc w:val="both"/>
              <w:textAlignment w:val="auto"/>
              <w:outlineLvl w:val="9"/>
              <w:rPr>
                <w:rFonts w:hint="eastAsia" w:ascii="仿宋_GB2312" w:hAnsi="仿宋_GB2312" w:eastAsia="仿宋_GB2312" w:cs="仿宋_GB2312"/>
                <w:sz w:val="22"/>
                <w:szCs w:val="22"/>
              </w:rPr>
            </w:pPr>
            <w:r>
              <w:rPr>
                <w:rFonts w:hint="eastAsia" w:ascii="楷体_GB2312" w:hAnsi="楷体_GB2312" w:eastAsia="楷体_GB2312" w:cs="楷体_GB2312"/>
                <w:b/>
                <w:bCs/>
                <w:sz w:val="22"/>
                <w:szCs w:val="22"/>
              </w:rPr>
              <w:t>2.农业新技术示范推广。</w:t>
            </w:r>
            <w:r>
              <w:rPr>
                <w:rFonts w:hint="eastAsia" w:ascii="仿宋_GB2312" w:hAnsi="仿宋_GB2312" w:eastAsia="仿宋_GB2312" w:cs="仿宋_GB2312"/>
                <w:b w:val="0"/>
                <w:bCs/>
                <w:sz w:val="22"/>
                <w:szCs w:val="22"/>
              </w:rPr>
              <w:t>深入推进重大实用技术示范推广，建设蔬菜新品种展示园</w:t>
            </w:r>
            <w:r>
              <w:rPr>
                <w:rFonts w:hint="eastAsia" w:ascii="Times New Roman" w:hAnsi="Times New Roman" w:eastAsia="仿宋_GB2312" w:cs="Times New Roman"/>
                <w:b w:val="0"/>
                <w:kern w:val="2"/>
                <w:sz w:val="22"/>
                <w:szCs w:val="22"/>
                <w:lang w:val="en-US" w:eastAsia="zh-CN" w:bidi="ar-SA"/>
              </w:rPr>
              <w:t>3</w:t>
            </w:r>
            <w:r>
              <w:rPr>
                <w:rFonts w:hint="eastAsia" w:ascii="仿宋_GB2312" w:hAnsi="仿宋_GB2312" w:eastAsia="仿宋_GB2312" w:cs="仿宋_GB2312"/>
                <w:b w:val="0"/>
                <w:bCs/>
                <w:sz w:val="22"/>
                <w:szCs w:val="22"/>
              </w:rPr>
              <w:t>个、新品种示范点</w:t>
            </w:r>
            <w:r>
              <w:rPr>
                <w:rFonts w:hint="eastAsia" w:ascii="Times New Roman" w:hAnsi="Times New Roman" w:eastAsia="仿宋_GB2312" w:cs="Times New Roman"/>
                <w:b w:val="0"/>
                <w:bCs/>
                <w:color w:val="auto"/>
                <w:sz w:val="22"/>
                <w:szCs w:val="22"/>
              </w:rPr>
              <w:t>10</w:t>
            </w:r>
            <w:r>
              <w:rPr>
                <w:rFonts w:hint="eastAsia" w:ascii="仿宋_GB2312" w:hAnsi="仿宋_GB2312" w:eastAsia="仿宋_GB2312" w:cs="仿宋_GB2312"/>
                <w:b w:val="0"/>
                <w:bCs/>
                <w:sz w:val="22"/>
                <w:szCs w:val="22"/>
              </w:rPr>
              <w:t>个和瓜菜技术集成综合</w:t>
            </w:r>
            <w:r>
              <w:rPr>
                <w:rFonts w:hint="eastAsia" w:ascii="Times New Roman" w:hAnsi="Times New Roman" w:eastAsia="仿宋_GB2312" w:cs="Times New Roman"/>
                <w:b w:val="0"/>
                <w:bCs/>
                <w:color w:val="auto"/>
                <w:sz w:val="22"/>
                <w:szCs w:val="22"/>
              </w:rPr>
              <w:t>示范区15</w:t>
            </w:r>
            <w:r>
              <w:rPr>
                <w:rFonts w:hint="eastAsia" w:ascii="仿宋_GB2312" w:hAnsi="仿宋_GB2312" w:eastAsia="仿宋_GB2312" w:cs="仿宋_GB2312"/>
                <w:b w:val="0"/>
                <w:bCs/>
                <w:sz w:val="22"/>
                <w:szCs w:val="22"/>
              </w:rPr>
              <w:t>个。实施关键技术研发攻关和重大实用技术推广项目，遴选推介农业主导品种、主推技术和绿色技术模式。渔业新技术推广项目，</w:t>
            </w:r>
            <w:r>
              <w:rPr>
                <w:rFonts w:hint="eastAsia" w:ascii="仿宋_GB2312" w:hAnsi="仿宋_GB2312" w:eastAsia="仿宋_GB2312" w:cs="仿宋_GB2312"/>
                <w:b w:val="0"/>
                <w:bCs/>
                <w:color w:val="auto"/>
                <w:sz w:val="22"/>
                <w:szCs w:val="22"/>
              </w:rPr>
              <w:t>每年推广</w:t>
            </w:r>
            <w:r>
              <w:rPr>
                <w:rFonts w:hint="eastAsia" w:ascii="仿宋_GB2312" w:hAnsi="仿宋_GB2312" w:eastAsia="仿宋_GB2312" w:cs="仿宋_GB2312"/>
                <w:b w:val="0"/>
                <w:bCs/>
                <w:color w:val="auto"/>
                <w:sz w:val="22"/>
                <w:szCs w:val="22"/>
                <w:lang w:eastAsia="zh-CN"/>
              </w:rPr>
              <w:t>“</w:t>
            </w:r>
            <w:r>
              <w:rPr>
                <w:rFonts w:hint="eastAsia" w:ascii="仿宋_GB2312" w:hAnsi="仿宋_GB2312" w:eastAsia="仿宋_GB2312" w:cs="仿宋_GB2312"/>
                <w:b w:val="0"/>
                <w:bCs/>
                <w:color w:val="auto"/>
                <w:sz w:val="22"/>
                <w:szCs w:val="22"/>
              </w:rPr>
              <w:t>宽沟深槽</w:t>
            </w:r>
            <w:r>
              <w:rPr>
                <w:rFonts w:hint="eastAsia" w:ascii="仿宋_GB2312" w:hAnsi="仿宋_GB2312" w:eastAsia="仿宋_GB2312" w:cs="仿宋_GB2312"/>
                <w:b w:val="0"/>
                <w:bCs/>
                <w:color w:val="auto"/>
                <w:sz w:val="22"/>
                <w:szCs w:val="22"/>
                <w:lang w:eastAsia="zh-CN"/>
              </w:rPr>
              <w:t>”“</w:t>
            </w:r>
            <w:r>
              <w:rPr>
                <w:rFonts w:hint="eastAsia" w:ascii="仿宋_GB2312" w:hAnsi="仿宋_GB2312" w:eastAsia="仿宋_GB2312" w:cs="仿宋_GB2312"/>
                <w:b w:val="0"/>
                <w:bCs/>
                <w:color w:val="auto"/>
                <w:sz w:val="22"/>
                <w:szCs w:val="22"/>
              </w:rPr>
              <w:t>设施养鱼＋稻渔共作</w:t>
            </w:r>
            <w:r>
              <w:rPr>
                <w:rFonts w:hint="eastAsia" w:ascii="仿宋_GB2312" w:hAnsi="仿宋_GB2312" w:eastAsia="仿宋_GB2312" w:cs="仿宋_GB2312"/>
                <w:b w:val="0"/>
                <w:bCs/>
                <w:color w:val="auto"/>
                <w:sz w:val="22"/>
                <w:szCs w:val="22"/>
                <w:lang w:eastAsia="zh-CN"/>
              </w:rPr>
              <w:t>”</w:t>
            </w:r>
            <w:r>
              <w:rPr>
                <w:rFonts w:hint="eastAsia" w:ascii="仿宋_GB2312" w:hAnsi="仿宋_GB2312" w:eastAsia="仿宋_GB2312" w:cs="仿宋_GB2312"/>
                <w:b w:val="0"/>
                <w:bCs/>
                <w:color w:val="auto"/>
                <w:sz w:val="22"/>
                <w:szCs w:val="22"/>
              </w:rPr>
              <w:t>生态种养模式</w:t>
            </w:r>
            <w:r>
              <w:rPr>
                <w:rFonts w:hint="eastAsia" w:ascii="Times New Roman" w:hAnsi="Times New Roman" w:eastAsia="仿宋_GB2312" w:cs="Times New Roman"/>
                <w:b w:val="0"/>
                <w:kern w:val="2"/>
                <w:sz w:val="22"/>
                <w:szCs w:val="22"/>
                <w:lang w:val="en-US" w:eastAsia="zh-CN" w:bidi="ar-SA"/>
              </w:rPr>
              <w:t>5</w:t>
            </w:r>
            <w:r>
              <w:rPr>
                <w:rFonts w:hint="eastAsia" w:ascii="仿宋_GB2312" w:hAnsi="仿宋_GB2312" w:eastAsia="仿宋_GB2312" w:cs="仿宋_GB2312"/>
                <w:b w:val="0"/>
                <w:bCs/>
                <w:color w:val="auto"/>
                <w:sz w:val="22"/>
                <w:szCs w:val="22"/>
                <w:lang w:val="en-US" w:eastAsia="zh-CN"/>
              </w:rPr>
              <w:t>万亩</w:t>
            </w:r>
            <w:r>
              <w:rPr>
                <w:rFonts w:hint="eastAsia" w:ascii="仿宋_GB2312" w:hAnsi="仿宋_GB2312" w:eastAsia="仿宋_GB2312" w:cs="仿宋_GB2312"/>
                <w:b w:val="0"/>
                <w:bCs/>
                <w:sz w:val="22"/>
                <w:szCs w:val="22"/>
              </w:rPr>
              <w:t>，提质增效水产品养殖</w:t>
            </w:r>
            <w:r>
              <w:rPr>
                <w:rFonts w:hint="eastAsia" w:ascii="Times New Roman" w:hAnsi="Times New Roman" w:eastAsia="仿宋_GB2312" w:cs="Times New Roman"/>
                <w:b w:val="0"/>
                <w:kern w:val="2"/>
                <w:sz w:val="22"/>
                <w:szCs w:val="22"/>
                <w:lang w:val="en-US" w:eastAsia="zh-CN" w:bidi="ar-SA"/>
              </w:rPr>
              <w:t>10</w:t>
            </w:r>
            <w:r>
              <w:rPr>
                <w:rFonts w:hint="eastAsia" w:ascii="仿宋_GB2312" w:hAnsi="仿宋_GB2312" w:eastAsia="仿宋_GB2312" w:cs="仿宋_GB2312"/>
                <w:b w:val="0"/>
                <w:bCs/>
                <w:sz w:val="22"/>
                <w:szCs w:val="22"/>
              </w:rPr>
              <w:t>万亩，大水面生态养殖</w:t>
            </w:r>
            <w:r>
              <w:rPr>
                <w:rFonts w:hint="eastAsia" w:ascii="Times New Roman" w:hAnsi="Times New Roman" w:eastAsia="仿宋_GB2312" w:cs="Times New Roman"/>
                <w:b w:val="0"/>
                <w:kern w:val="2"/>
                <w:sz w:val="22"/>
                <w:szCs w:val="22"/>
                <w:lang w:val="en-US" w:eastAsia="zh-CN" w:bidi="ar-SA"/>
              </w:rPr>
              <w:t>10</w:t>
            </w:r>
            <w:r>
              <w:rPr>
                <w:rFonts w:hint="eastAsia" w:ascii="仿宋_GB2312" w:hAnsi="仿宋_GB2312" w:eastAsia="仿宋_GB2312" w:cs="仿宋_GB2312"/>
                <w:b w:val="0"/>
                <w:bCs/>
                <w:sz w:val="22"/>
                <w:szCs w:val="22"/>
              </w:rPr>
              <w:t>万亩，名特优新品种设施养殖</w:t>
            </w:r>
            <w:r>
              <w:rPr>
                <w:rFonts w:hint="eastAsia" w:ascii="Times New Roman" w:hAnsi="Times New Roman" w:eastAsia="仿宋_GB2312" w:cs="Times New Roman"/>
                <w:b w:val="0"/>
                <w:kern w:val="2"/>
                <w:sz w:val="22"/>
                <w:szCs w:val="22"/>
                <w:lang w:val="en-US" w:eastAsia="zh-CN" w:bidi="ar-SA"/>
              </w:rPr>
              <w:t>50</w:t>
            </w:r>
            <w:r>
              <w:rPr>
                <w:rFonts w:hint="eastAsia" w:ascii="仿宋_GB2312" w:hAnsi="仿宋_GB2312" w:eastAsia="仿宋_GB2312" w:cs="仿宋_GB2312"/>
                <w:b w:val="0"/>
                <w:bCs/>
                <w:sz w:val="22"/>
                <w:szCs w:val="22"/>
              </w:rPr>
              <w:t>万平方米。</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sz w:val="22"/>
                <w:szCs w:val="22"/>
              </w:rPr>
            </w:pPr>
            <w:r>
              <w:rPr>
                <w:rFonts w:hint="eastAsia" w:ascii="楷体_GB2312" w:hAnsi="楷体_GB2312" w:eastAsia="楷体_GB2312" w:cs="楷体_GB2312"/>
                <w:b/>
                <w:bCs/>
                <w:kern w:val="2"/>
                <w:sz w:val="22"/>
                <w:szCs w:val="22"/>
                <w:lang w:val="en-US" w:eastAsia="zh-CN" w:bidi="ar-SA"/>
              </w:rPr>
              <w:t>3.绿色农机装备研发推广。</w:t>
            </w:r>
            <w:r>
              <w:rPr>
                <w:rFonts w:hint="eastAsia" w:ascii="仿宋_GB2312" w:hAnsi="仿宋_GB2312" w:eastAsia="仿宋_GB2312" w:cs="仿宋_GB2312"/>
                <w:sz w:val="22"/>
                <w:szCs w:val="22"/>
              </w:rPr>
              <w:t>研发创制一批节能低耗绿色智能化农机装备，加快植保无人机、残膜回收机、废弃物无害化处理等农机装备推广应用，大力示范推广节种节水节能节肥节药等农机化技术。每年建设农机农艺融合示范园区</w:t>
            </w:r>
            <w:r>
              <w:rPr>
                <w:rFonts w:hint="eastAsia" w:ascii="Times New Roman" w:hAnsi="Times New Roman" w:eastAsia="仿宋_GB2312" w:cs="Times New Roman"/>
                <w:sz w:val="22"/>
                <w:szCs w:val="22"/>
              </w:rPr>
              <w:t>10</w:t>
            </w:r>
            <w:r>
              <w:rPr>
                <w:rFonts w:hint="eastAsia" w:ascii="仿宋_GB2312" w:hAnsi="仿宋_GB2312" w:eastAsia="仿宋_GB2312" w:cs="仿宋_GB2312"/>
                <w:sz w:val="22"/>
                <w:szCs w:val="22"/>
              </w:rPr>
              <w:t>个左右，推进农业机械化向全程全面、高质高效发展。</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sz w:val="22"/>
                <w:szCs w:val="22"/>
              </w:rPr>
            </w:pPr>
            <w:r>
              <w:rPr>
                <w:rFonts w:hint="eastAsia" w:ascii="楷体_GB2312" w:hAnsi="楷体_GB2312" w:eastAsia="楷体_GB2312" w:cs="楷体_GB2312"/>
                <w:b/>
                <w:bCs/>
                <w:kern w:val="2"/>
                <w:sz w:val="22"/>
                <w:szCs w:val="22"/>
                <w:lang w:val="en-US" w:eastAsia="zh-CN" w:bidi="ar-SA"/>
              </w:rPr>
              <w:t>4.现代种业提升项目。</w:t>
            </w:r>
            <w:r>
              <w:rPr>
                <w:rFonts w:hint="eastAsia" w:ascii="仿宋_GB2312" w:hAnsi="仿宋_GB2312" w:eastAsia="仿宋_GB2312" w:cs="仿宋_GB2312"/>
                <w:sz w:val="22"/>
                <w:szCs w:val="22"/>
              </w:rPr>
              <w:t>实施现代种业提升工程，建设</w:t>
            </w:r>
            <w:r>
              <w:rPr>
                <w:rFonts w:hint="eastAsia" w:ascii="Times New Roman" w:hAnsi="Times New Roman" w:eastAsia="仿宋_GB2312" w:cs="Times New Roman"/>
                <w:sz w:val="22"/>
                <w:szCs w:val="22"/>
              </w:rPr>
              <w:t>1</w:t>
            </w:r>
            <w:r>
              <w:rPr>
                <w:rFonts w:hint="eastAsia" w:ascii="仿宋_GB2312" w:hAnsi="仿宋_GB2312" w:eastAsia="仿宋_GB2312" w:cs="仿宋_GB2312"/>
                <w:sz w:val="22"/>
                <w:szCs w:val="22"/>
              </w:rPr>
              <w:t>个国家级玉米良种繁育基地和</w:t>
            </w:r>
            <w:r>
              <w:rPr>
                <w:rFonts w:hint="eastAsia" w:ascii="Times New Roman" w:hAnsi="Times New Roman" w:eastAsia="仿宋_GB2312" w:cs="Times New Roman"/>
                <w:sz w:val="22"/>
                <w:szCs w:val="22"/>
              </w:rPr>
              <w:t>3</w:t>
            </w:r>
            <w:r>
              <w:rPr>
                <w:rFonts w:hint="eastAsia" w:ascii="仿宋_GB2312" w:hAnsi="仿宋_GB2312" w:eastAsia="仿宋_GB2312" w:cs="仿宋_GB2312"/>
                <w:sz w:val="22"/>
                <w:szCs w:val="22"/>
              </w:rPr>
              <w:t>个国家级马铃薯、蔬菜、杂粮杂豆区域性良种繁育基地；开展农作物种质资源保护与利用，支持建设省级种质资源保存库</w:t>
            </w:r>
            <w:r>
              <w:rPr>
                <w:rFonts w:hint="eastAsia" w:ascii="Times New Roman" w:hAnsi="Times New Roman" w:eastAsia="仿宋_GB2312" w:cs="Times New Roman"/>
                <w:sz w:val="22"/>
                <w:szCs w:val="22"/>
              </w:rPr>
              <w:t>1</w:t>
            </w:r>
            <w:r>
              <w:rPr>
                <w:rFonts w:hint="eastAsia" w:ascii="仿宋_GB2312" w:hAnsi="仿宋_GB2312" w:eastAsia="仿宋_GB2312" w:cs="仿宋_GB2312"/>
                <w:sz w:val="22"/>
                <w:szCs w:val="22"/>
              </w:rPr>
              <w:t>个，枸杞、葡萄种质资源圃</w:t>
            </w:r>
            <w:r>
              <w:rPr>
                <w:rFonts w:hint="eastAsia" w:ascii="Times New Roman" w:hAnsi="Times New Roman" w:eastAsia="仿宋_GB2312" w:cs="Times New Roman"/>
                <w:sz w:val="22"/>
                <w:szCs w:val="22"/>
              </w:rPr>
              <w:t>3</w:t>
            </w:r>
            <w:r>
              <w:rPr>
                <w:rFonts w:hint="eastAsia" w:ascii="仿宋_GB2312" w:hAnsi="仿宋_GB2312" w:eastAsia="仿宋_GB2312" w:cs="仿宋_GB2312"/>
                <w:sz w:val="22"/>
                <w:szCs w:val="22"/>
              </w:rPr>
              <w:t>个，水产种质资源场</w:t>
            </w:r>
            <w:r>
              <w:rPr>
                <w:rFonts w:hint="eastAsia" w:ascii="Times New Roman" w:hAnsi="Times New Roman" w:eastAsia="仿宋_GB2312" w:cs="Times New Roman"/>
                <w:sz w:val="22"/>
                <w:szCs w:val="22"/>
              </w:rPr>
              <w:t>3</w:t>
            </w:r>
            <w:r>
              <w:rPr>
                <w:rFonts w:hint="eastAsia" w:ascii="仿宋_GB2312" w:hAnsi="仿宋_GB2312" w:eastAsia="仿宋_GB2312" w:cs="仿宋_GB2312"/>
                <w:sz w:val="22"/>
                <w:szCs w:val="22"/>
              </w:rPr>
              <w:t>个，加快</w:t>
            </w:r>
            <w:r>
              <w:rPr>
                <w:rFonts w:hint="eastAsia" w:ascii="Times New Roman" w:hAnsi="Times New Roman" w:eastAsia="仿宋_GB2312" w:cs="Times New Roman"/>
                <w:sz w:val="22"/>
                <w:szCs w:val="22"/>
              </w:rPr>
              <w:t>12</w:t>
            </w:r>
            <w:r>
              <w:rPr>
                <w:rFonts w:hint="eastAsia" w:ascii="仿宋_GB2312" w:hAnsi="仿宋_GB2312" w:eastAsia="仿宋_GB2312" w:cs="仿宋_GB2312"/>
                <w:sz w:val="22"/>
                <w:szCs w:val="22"/>
              </w:rPr>
              <w:t>个良种繁育基地建设，提升育种创新能力、管理服务能力和信息化水平。</w:t>
            </w:r>
          </w:p>
          <w:p>
            <w:pPr>
              <w:pStyle w:val="14"/>
              <w:keepNext w:val="0"/>
              <w:keepLines w:val="0"/>
              <w:pageBreakBefore w:val="0"/>
              <w:widowControl w:val="0"/>
              <w:kinsoku/>
              <w:wordWrap/>
              <w:overflowPunct/>
              <w:topLinePunct w:val="0"/>
              <w:autoSpaceDE/>
              <w:autoSpaceDN/>
              <w:bidi w:val="0"/>
              <w:adjustRightInd/>
              <w:snapToGrid/>
              <w:spacing w:after="0" w:line="320" w:lineRule="exact"/>
              <w:ind w:left="0" w:leftChars="0" w:right="0" w:rightChars="0" w:firstLine="0" w:firstLineChars="0"/>
              <w:jc w:val="both"/>
              <w:textAlignment w:val="auto"/>
              <w:outlineLvl w:val="9"/>
              <w:rPr>
                <w:rFonts w:hint="eastAsia" w:ascii="仿宋_GB2312" w:hAnsi="仿宋_GB2312" w:eastAsia="仿宋_GB2312" w:cs="仿宋_GB2312"/>
                <w:b w:val="0"/>
                <w:bCs/>
                <w:sz w:val="22"/>
                <w:szCs w:val="22"/>
              </w:rPr>
            </w:pPr>
            <w:r>
              <w:rPr>
                <w:rFonts w:hint="eastAsia" w:ascii="楷体_GB2312" w:hAnsi="楷体_GB2312" w:eastAsia="楷体_GB2312" w:cs="楷体_GB2312"/>
                <w:b/>
                <w:bCs/>
                <w:sz w:val="22"/>
                <w:szCs w:val="22"/>
              </w:rPr>
              <w:t>5.农业农村数字化提升项目</w:t>
            </w:r>
            <w:r>
              <w:rPr>
                <w:rFonts w:hint="eastAsia" w:ascii="仿宋_GB2312" w:hAnsi="仿宋_GB2312" w:eastAsia="仿宋_GB2312" w:cs="仿宋_GB2312"/>
                <w:sz w:val="22"/>
                <w:szCs w:val="22"/>
              </w:rPr>
              <w:t>。</w:t>
            </w:r>
            <w:r>
              <w:rPr>
                <w:rFonts w:hint="eastAsia" w:ascii="仿宋_GB2312" w:hAnsi="仿宋_GB2312" w:eastAsia="仿宋_GB2312" w:cs="仿宋_GB2312"/>
                <w:b w:val="0"/>
                <w:bCs/>
                <w:sz w:val="22"/>
                <w:szCs w:val="22"/>
              </w:rPr>
              <w:t>智慧种植示范园区建设。围绕粮食作物大田生产以及奶牛、肉牛、滩羊、猪、鸡等规模养殖场为重点，引进开发数字化管理平台和手机App，试点建设无人农场，实现无人化、网络化、精准化生产管理，提升农业生产智慧化水平。</w:t>
            </w:r>
            <w:r>
              <w:rPr>
                <w:rFonts w:hint="eastAsia" w:ascii="仿宋_GB2312" w:hAnsi="仿宋_GB2312" w:eastAsia="仿宋_GB2312" w:cs="仿宋_GB2312"/>
                <w:b w:val="0"/>
                <w:bCs/>
                <w:color w:val="auto"/>
                <w:sz w:val="22"/>
                <w:szCs w:val="22"/>
              </w:rPr>
              <w:t>实施信息进村入户和农业物联网建设，</w:t>
            </w:r>
            <w:r>
              <w:rPr>
                <w:rFonts w:hint="eastAsia" w:ascii="仿宋_GB2312" w:hAnsi="仿宋_GB2312" w:eastAsia="仿宋_GB2312" w:cs="仿宋_GB2312"/>
                <w:b w:val="0"/>
                <w:bCs/>
                <w:sz w:val="22"/>
                <w:szCs w:val="22"/>
              </w:rPr>
              <w:t>强化大数据、物联网、区块链、移动互联、人工智能等数字技术在农业生产、经营、管理、服务领域的集成与应用，构建数字乡村服务体系，探索乡村数字经济新业态和乡村数字治理新模式，深入实施信息进村入户工程，扩大农业物联网应用范围，建设“互联网+”农产品出村进城工程试点县</w:t>
            </w:r>
            <w:r>
              <w:rPr>
                <w:rFonts w:hint="eastAsia" w:ascii="Times New Roman" w:hAnsi="Times New Roman" w:eastAsia="仿宋_GB2312" w:cs="Times New Roman"/>
                <w:b w:val="0"/>
                <w:kern w:val="2"/>
                <w:sz w:val="22"/>
                <w:szCs w:val="22"/>
                <w:lang w:val="en-US" w:eastAsia="zh-CN" w:bidi="ar-SA"/>
              </w:rPr>
              <w:t>3</w:t>
            </w:r>
            <w:r>
              <w:rPr>
                <w:rFonts w:hint="eastAsia" w:ascii="仿宋_GB2312" w:hAnsi="仿宋_GB2312" w:eastAsia="仿宋_GB2312" w:cs="仿宋_GB2312"/>
                <w:b w:val="0"/>
                <w:bCs/>
                <w:sz w:val="22"/>
                <w:szCs w:val="22"/>
              </w:rPr>
              <w:t>个。</w:t>
            </w:r>
          </w:p>
          <w:p>
            <w:pPr>
              <w:keepNext w:val="0"/>
              <w:keepLines w:val="0"/>
              <w:pageBreakBefore w:val="0"/>
              <w:widowControl w:val="0"/>
              <w:kinsoku/>
              <w:wordWrap/>
              <w:overflowPunct/>
              <w:topLinePunct w:val="0"/>
              <w:autoSpaceDE/>
              <w:autoSpaceDN/>
              <w:bidi w:val="0"/>
              <w:adjustRightInd/>
              <w:snapToGrid/>
              <w:spacing w:line="320" w:lineRule="exact"/>
              <w:ind w:left="0" w:leftChars="0" w:right="0" w:rightChars="0" w:firstLine="0" w:firstLineChars="0"/>
              <w:jc w:val="both"/>
              <w:textAlignment w:val="auto"/>
              <w:outlineLvl w:val="9"/>
              <w:rPr>
                <w:rFonts w:hint="eastAsia" w:ascii="仿宋_GB2312" w:hAnsi="仿宋_GB2312" w:eastAsia="仿宋_GB2312" w:cs="仿宋_GB2312"/>
                <w:sz w:val="22"/>
                <w:szCs w:val="22"/>
              </w:rPr>
            </w:pPr>
            <w:r>
              <w:rPr>
                <w:rFonts w:hint="eastAsia" w:ascii="楷体_GB2312" w:hAnsi="楷体_GB2312" w:eastAsia="楷体_GB2312" w:cs="楷体_GB2312"/>
                <w:b/>
                <w:bCs/>
                <w:kern w:val="2"/>
                <w:sz w:val="22"/>
                <w:szCs w:val="22"/>
                <w:lang w:val="en-US" w:eastAsia="zh-CN" w:bidi="ar-SA"/>
              </w:rPr>
              <w:t>6.国家农业绿色发展先行先试支撑体系</w:t>
            </w:r>
            <w:r>
              <w:rPr>
                <w:rFonts w:hint="eastAsia" w:ascii="仿宋_GB2312" w:hAnsi="仿宋_GB2312" w:eastAsia="仿宋_GB2312" w:cs="仿宋_GB2312"/>
                <w:sz w:val="22"/>
                <w:szCs w:val="22"/>
              </w:rPr>
              <w:t>。落实“国家农业绿色发展先行区”建设要求，在全区范围开展农业绿色发展试点、绿色技术应用试验，着力建成一批农业绿色发展示范园区、集成一批农业绿色发展技术模式、探索形成一套农业绿色发展评价体系。到</w:t>
            </w:r>
            <w:r>
              <w:rPr>
                <w:rFonts w:hint="eastAsia" w:ascii="Times New Roman" w:hAnsi="Times New Roman" w:eastAsia="仿宋_GB2312" w:cs="Times New Roman"/>
                <w:sz w:val="22"/>
                <w:szCs w:val="22"/>
              </w:rPr>
              <w:t>2025</w:t>
            </w:r>
            <w:r>
              <w:rPr>
                <w:rFonts w:hint="eastAsia" w:ascii="仿宋_GB2312" w:hAnsi="仿宋_GB2312" w:eastAsia="仿宋_GB2312" w:cs="仿宋_GB2312"/>
                <w:sz w:val="22"/>
                <w:szCs w:val="22"/>
              </w:rPr>
              <w:t>年，建成国家绿色发展综合示范园区</w:t>
            </w:r>
            <w:r>
              <w:rPr>
                <w:rFonts w:hint="eastAsia" w:ascii="Times New Roman" w:hAnsi="Times New Roman" w:eastAsia="仿宋_GB2312" w:cs="Times New Roman"/>
                <w:sz w:val="22"/>
                <w:szCs w:val="22"/>
              </w:rPr>
              <w:t>10</w:t>
            </w:r>
            <w:r>
              <w:rPr>
                <w:rFonts w:hint="eastAsia" w:ascii="仿宋_GB2312" w:hAnsi="仿宋_GB2312" w:eastAsia="仿宋_GB2312" w:cs="仿宋_GB2312"/>
                <w:sz w:val="22"/>
                <w:szCs w:val="22"/>
              </w:rPr>
              <w:t>个，单项技术示范园区</w:t>
            </w:r>
            <w:r>
              <w:rPr>
                <w:rFonts w:hint="default" w:ascii="Times New Roman" w:hAnsi="Times New Roman" w:eastAsia="仿宋_GB2312" w:cs="Times New Roman"/>
                <w:sz w:val="22"/>
                <w:szCs w:val="22"/>
              </w:rPr>
              <w:t>100</w:t>
            </w:r>
            <w:r>
              <w:rPr>
                <w:rFonts w:hint="eastAsia" w:ascii="仿宋_GB2312" w:hAnsi="仿宋_GB2312" w:eastAsia="仿宋_GB2312" w:cs="仿宋_GB2312"/>
                <w:sz w:val="22"/>
                <w:szCs w:val="22"/>
              </w:rPr>
              <w:t>个。</w:t>
            </w:r>
          </w:p>
        </w:tc>
      </w:tr>
      <w:bookmarkEnd w:id="203"/>
      <w:bookmarkEnd w:id="204"/>
      <w:bookmarkEnd w:id="228"/>
      <w:bookmarkEnd w:id="229"/>
    </w:tbl>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黑体" w:hAnsi="黑体" w:eastAsia="黑体" w:cs="黑体"/>
          <w:b w:val="0"/>
          <w:bCs w:val="0"/>
          <w:sz w:val="32"/>
          <w:szCs w:val="32"/>
        </w:rPr>
      </w:pPr>
      <w:bookmarkStart w:id="230" w:name="_Toc64884479"/>
      <w:bookmarkStart w:id="231" w:name="_Toc10152"/>
      <w:bookmarkStart w:id="232" w:name="_Toc64884486"/>
      <w:r>
        <w:rPr>
          <w:rFonts w:hint="eastAsia" w:ascii="黑体" w:hAnsi="黑体" w:eastAsia="黑体" w:cs="黑体"/>
          <w:b w:val="0"/>
          <w:bCs w:val="0"/>
          <w:sz w:val="32"/>
          <w:szCs w:val="32"/>
        </w:rPr>
        <w:t>第八章 建立和完善农业绿色</w:t>
      </w:r>
      <w:bookmarkEnd w:id="230"/>
      <w:r>
        <w:rPr>
          <w:rFonts w:hint="eastAsia" w:ascii="黑体" w:hAnsi="黑体" w:eastAsia="黑体" w:cs="黑体"/>
          <w:b w:val="0"/>
          <w:bCs w:val="0"/>
          <w:sz w:val="32"/>
          <w:szCs w:val="32"/>
        </w:rPr>
        <w:t>发展长效机制</w:t>
      </w:r>
      <w:bookmarkEnd w:id="231"/>
    </w:p>
    <w:p>
      <w:pPr>
        <w:pStyle w:val="4"/>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楷体_GB2312" w:hAnsi="楷体_GB2312" w:eastAsia="楷体_GB2312" w:cs="楷体_GB2312"/>
          <w:sz w:val="32"/>
          <w:szCs w:val="32"/>
        </w:rPr>
      </w:pPr>
      <w:bookmarkStart w:id="233" w:name="_Toc25240"/>
      <w:r>
        <w:rPr>
          <w:rFonts w:hint="eastAsia" w:ascii="楷体_GB2312" w:hAnsi="楷体_GB2312" w:eastAsia="楷体_GB2312" w:cs="楷体_GB2312"/>
          <w:sz w:val="32"/>
          <w:szCs w:val="32"/>
          <w:lang w:eastAsia="zh-CN"/>
        </w:rPr>
        <w:t>第一节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强化</w:t>
      </w:r>
      <w:r>
        <w:rPr>
          <w:rFonts w:hint="eastAsia" w:ascii="楷体_GB2312" w:hAnsi="楷体_GB2312" w:eastAsia="楷体_GB2312" w:cs="楷体_GB2312"/>
          <w:sz w:val="32"/>
          <w:szCs w:val="32"/>
          <w:lang w:eastAsia="zh-CN"/>
        </w:rPr>
        <w:t>投入保障</w:t>
      </w:r>
      <w:bookmarkEnd w:id="233"/>
    </w:p>
    <w:p>
      <w:pPr>
        <w:pStyle w:val="32"/>
        <w:spacing w:line="560" w:lineRule="exact"/>
        <w:ind w:firstLine="582"/>
        <w:rPr>
          <w:sz w:val="32"/>
          <w:szCs w:val="32"/>
        </w:rPr>
      </w:pPr>
      <w:r>
        <w:rPr>
          <w:rFonts w:hint="eastAsia" w:ascii="仿宋_GB2312" w:hAnsi="仿宋_GB2312" w:eastAsia="仿宋_GB2312" w:cs="仿宋_GB2312"/>
          <w:b w:val="0"/>
          <w:bCs w:val="0"/>
          <w:sz w:val="32"/>
          <w:szCs w:val="32"/>
        </w:rPr>
        <w:t>完善绿色农业发展支持政策。</w:t>
      </w:r>
      <w:r>
        <w:rPr>
          <w:rFonts w:hint="eastAsia"/>
          <w:sz w:val="32"/>
          <w:szCs w:val="32"/>
        </w:rPr>
        <w:t>加大公共财政对农业绿色发展支持力度，全面落实补贴政策，推动财政资金支持由生产领域向生产生态并重转变。用好农业资源环境保护政策，探索补贴发放与耕地地力保护行为相挂钩，优化耕地地力保护补贴，支持重点作物绿色高质高效生产，开展化肥农药减量增效示范。推进废弃物资源化利用，畜牧大县整县推进粪污就地消纳、就近还田，粮食和蔬菜种植大县开展绿色种养循环农业试点。全面实施秸秆综合利用行动，加快建立</w:t>
      </w:r>
      <w:r>
        <w:rPr>
          <w:rFonts w:hint="eastAsia"/>
          <w:sz w:val="32"/>
          <w:szCs w:val="32"/>
          <w:lang w:eastAsia="zh-CN"/>
        </w:rPr>
        <w:t>农用残膜</w:t>
      </w:r>
      <w:r>
        <w:rPr>
          <w:rFonts w:hint="eastAsia"/>
          <w:sz w:val="32"/>
          <w:szCs w:val="32"/>
        </w:rPr>
        <w:t>回收利用机制。统筹整合相关项目资金，优先保障绿色农业发展资金需求，进一步调整优化补贴范围、补贴环节和补贴标准，提高农业绿色发展水平。</w:t>
      </w:r>
    </w:p>
    <w:p>
      <w:pPr>
        <w:pStyle w:val="32"/>
        <w:spacing w:line="560" w:lineRule="exact"/>
        <w:ind w:firstLine="582"/>
        <w:rPr>
          <w:sz w:val="32"/>
          <w:szCs w:val="32"/>
        </w:rPr>
      </w:pPr>
      <w:r>
        <w:rPr>
          <w:rFonts w:hint="eastAsia" w:ascii="仿宋_GB2312" w:hAnsi="仿宋_GB2312" w:eastAsia="仿宋_GB2312" w:cs="仿宋_GB2312"/>
          <w:b w:val="0"/>
          <w:bCs w:val="0"/>
          <w:sz w:val="32"/>
          <w:szCs w:val="32"/>
        </w:rPr>
        <w:t>健全生态保护补偿机制。</w:t>
      </w:r>
      <w:r>
        <w:rPr>
          <w:rFonts w:hint="eastAsia"/>
          <w:sz w:val="32"/>
          <w:szCs w:val="32"/>
        </w:rPr>
        <w:t>支持开展退化耕地治理，引黄扬黄灌区实施盐碱地改良，中部干旱带实施压砂地退化治理，中南部移民迁出区完善退耕还林还草政策。实施好第三轮草地生态保护补助奖励政策，促进草原生态保护和畜牧业发展。实施新一轮渔业发展补助政策，强化渔业资源环境养护，促进渔业绿色循环发展。</w:t>
      </w:r>
    </w:p>
    <w:p>
      <w:pPr>
        <w:pStyle w:val="32"/>
        <w:spacing w:line="560" w:lineRule="exact"/>
        <w:ind w:firstLine="562"/>
        <w:rPr>
          <w:sz w:val="32"/>
          <w:szCs w:val="32"/>
        </w:rPr>
      </w:pPr>
      <w:r>
        <w:rPr>
          <w:rFonts w:hint="eastAsia" w:ascii="仿宋_GB2312" w:hAnsi="仿宋_GB2312" w:eastAsia="仿宋_GB2312" w:cs="仿宋_GB2312"/>
          <w:b w:val="0"/>
          <w:bCs w:val="0"/>
          <w:sz w:val="32"/>
          <w:szCs w:val="32"/>
        </w:rPr>
        <w:t>建立多元投入机制。</w:t>
      </w:r>
      <w:r>
        <w:rPr>
          <w:rFonts w:hint="eastAsia" w:ascii="仿宋_GB2312" w:hAnsi="仿宋_GB2312" w:eastAsia="仿宋_GB2312" w:cs="仿宋_GB2312"/>
          <w:i w:val="0"/>
          <w:caps w:val="0"/>
          <w:color w:val="000000"/>
          <w:spacing w:val="0"/>
          <w:kern w:val="0"/>
          <w:sz w:val="32"/>
          <w:szCs w:val="32"/>
          <w:shd w:val="clear" w:color="auto" w:fill="FFFFFF"/>
          <w:lang w:val="en-US" w:eastAsia="zh-CN" w:bidi="ar"/>
        </w:rPr>
        <w:t>充分发挥市场配置资源的决定性作用，鼓励引导金融资本、社会资本投向农业绿色发展项目。</w:t>
      </w:r>
      <w:r>
        <w:rPr>
          <w:rFonts w:hint="eastAsia"/>
          <w:sz w:val="32"/>
          <w:szCs w:val="32"/>
        </w:rPr>
        <w:t>创新绿色金融政策，丰富完善信贷、保险、基金等绿色金融产品体系，探索建立农业生态补偿等质押融资贷款。完善农业绿色信贷增信机制，鼓励金融机构向绿色、有机、低碳循环农业生产企业提供融资支持，适度扩大农业绿色发展金融投入规模，创新优质特色农产品保险产品和服务。引导社会投入，鼓励企业利用外资、发行企业债券等方式，实施一批政府和社会资本合作项目，扩大农业绿色发展社会投资。</w:t>
      </w:r>
    </w:p>
    <w:p>
      <w:pPr>
        <w:pStyle w:val="4"/>
        <w:keepNext/>
        <w:keepLines/>
        <w:pageBreakBefore w:val="0"/>
        <w:widowControl w:val="0"/>
        <w:kinsoku/>
        <w:wordWrap/>
        <w:overflowPunct/>
        <w:topLinePunct w:val="0"/>
        <w:autoSpaceDE/>
        <w:autoSpaceDN/>
        <w:bidi w:val="0"/>
        <w:adjustRightInd/>
        <w:snapToGrid/>
        <w:spacing w:before="260" w:after="260" w:line="240" w:lineRule="auto"/>
        <w:ind w:left="0" w:leftChars="0" w:right="0" w:rightChars="0" w:firstLine="0" w:firstLineChars="0"/>
        <w:jc w:val="center"/>
        <w:textAlignment w:val="auto"/>
        <w:outlineLvl w:val="1"/>
        <w:rPr>
          <w:rFonts w:hint="eastAsia" w:ascii="楷体_GB2312" w:hAnsi="楷体_GB2312" w:eastAsia="楷体_GB2312" w:cs="楷体_GB2312"/>
          <w:sz w:val="32"/>
          <w:szCs w:val="32"/>
        </w:rPr>
      </w:pPr>
      <w:bookmarkStart w:id="234" w:name="_Toc30176"/>
      <w:r>
        <w:rPr>
          <w:rFonts w:hint="eastAsia" w:ascii="楷体_GB2312" w:hAnsi="楷体_GB2312" w:eastAsia="楷体_GB2312" w:cs="楷体_GB2312"/>
          <w:sz w:val="32"/>
          <w:szCs w:val="32"/>
          <w:lang w:eastAsia="zh-CN"/>
        </w:rPr>
        <w:t>第二节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强化依法推动</w:t>
      </w:r>
      <w:bookmarkEnd w:id="234"/>
    </w:p>
    <w:p>
      <w:pPr>
        <w:pStyle w:val="32"/>
        <w:spacing w:line="560" w:lineRule="exact"/>
        <w:ind w:firstLine="562"/>
        <w:rPr>
          <w:sz w:val="32"/>
          <w:szCs w:val="32"/>
        </w:rPr>
      </w:pPr>
      <w:r>
        <w:rPr>
          <w:rFonts w:hint="eastAsia" w:ascii="仿宋_GB2312" w:hAnsi="仿宋_GB2312" w:eastAsia="仿宋_GB2312" w:cs="仿宋_GB2312"/>
          <w:b w:val="0"/>
          <w:bCs w:val="0"/>
          <w:sz w:val="32"/>
          <w:szCs w:val="32"/>
        </w:rPr>
        <w:t>加大</w:t>
      </w:r>
      <w:r>
        <w:rPr>
          <w:rFonts w:hint="eastAsia" w:ascii="仿宋_GB2312" w:hAnsi="仿宋_GB2312" w:cs="仿宋_GB2312"/>
          <w:b w:val="0"/>
          <w:bCs w:val="0"/>
          <w:sz w:val="32"/>
          <w:szCs w:val="32"/>
          <w:lang w:eastAsia="zh-CN"/>
        </w:rPr>
        <w:t>农业</w:t>
      </w:r>
      <w:r>
        <w:rPr>
          <w:rFonts w:hint="eastAsia" w:ascii="仿宋_GB2312" w:hAnsi="仿宋_GB2312" w:eastAsia="仿宋_GB2312" w:cs="仿宋_GB2312"/>
          <w:b w:val="0"/>
          <w:bCs w:val="0"/>
          <w:sz w:val="32"/>
          <w:szCs w:val="32"/>
        </w:rPr>
        <w:t>执法力度。</w:t>
      </w:r>
      <w:r>
        <w:rPr>
          <w:rFonts w:hint="eastAsia"/>
          <w:sz w:val="32"/>
          <w:szCs w:val="32"/>
        </w:rPr>
        <w:t>强化执法能力建设，加快推进农业综合行政执法，按照事人相配、任务明确、责任到人，配齐配强农业综合执法队伍，加强执法人员教育培训，完善执法管理制度，规范执法程序，提高执法水平。加强执法设施装备建设，配备执法取证、检测、防护等专用设备，建设农业执法综合管理系统，综合运用互联网、云计算、大数据等现代信息技术，提升农业综合执法科技支撑能力。加强联合执法，推动农业行政执法机关与司法机关、监察机关的工作衔接配合，提高执法效力。强化重点领域执法，重点围绕农业资源环境保护、农业投入品监管、农产品质量安全等领域开展专项执法行动，加大破坏农业资源环境、农产品质量安全等违法案件查处力度。</w:t>
      </w:r>
    </w:p>
    <w:p>
      <w:pPr>
        <w:pStyle w:val="32"/>
        <w:spacing w:line="560" w:lineRule="exact"/>
        <w:ind w:firstLine="562"/>
        <w:rPr>
          <w:sz w:val="32"/>
          <w:szCs w:val="32"/>
        </w:rPr>
      </w:pPr>
      <w:r>
        <w:rPr>
          <w:rFonts w:hint="eastAsia" w:ascii="仿宋_GB2312" w:hAnsi="仿宋_GB2312" w:eastAsia="仿宋_GB2312" w:cs="仿宋_GB2312"/>
          <w:b w:val="0"/>
          <w:bCs w:val="0"/>
          <w:sz w:val="32"/>
          <w:szCs w:val="32"/>
        </w:rPr>
        <w:t>完善农业投入品监管制度。</w:t>
      </w:r>
      <w:r>
        <w:rPr>
          <w:rFonts w:hint="eastAsia"/>
          <w:sz w:val="32"/>
          <w:szCs w:val="32"/>
        </w:rPr>
        <w:t>加强</w:t>
      </w:r>
      <w:r>
        <w:rPr>
          <w:rFonts w:hint="eastAsia"/>
          <w:sz w:val="32"/>
          <w:szCs w:val="32"/>
          <w:lang w:eastAsia="zh-CN"/>
        </w:rPr>
        <w:t>种子、</w:t>
      </w:r>
      <w:r>
        <w:rPr>
          <w:rFonts w:hint="eastAsia"/>
          <w:sz w:val="32"/>
          <w:szCs w:val="32"/>
        </w:rPr>
        <w:t>化肥、农药、兽</w:t>
      </w:r>
      <w:r>
        <w:rPr>
          <w:rFonts w:hint="eastAsia"/>
          <w:sz w:val="32"/>
          <w:szCs w:val="32"/>
          <w:lang w:eastAsia="zh-CN"/>
        </w:rPr>
        <w:t>（鱼）</w:t>
      </w:r>
      <w:r>
        <w:rPr>
          <w:rFonts w:hint="eastAsia"/>
          <w:sz w:val="32"/>
          <w:szCs w:val="32"/>
        </w:rPr>
        <w:t>药、饲料</w:t>
      </w:r>
      <w:r>
        <w:rPr>
          <w:rFonts w:hint="eastAsia"/>
          <w:sz w:val="32"/>
          <w:szCs w:val="32"/>
          <w:lang w:eastAsia="zh-CN"/>
        </w:rPr>
        <w:t>及饲料</w:t>
      </w:r>
      <w:r>
        <w:rPr>
          <w:rFonts w:hint="eastAsia"/>
          <w:sz w:val="32"/>
          <w:szCs w:val="32"/>
        </w:rPr>
        <w:t>添加剂质量抽检，强化市场监管，</w:t>
      </w:r>
      <w:r>
        <w:rPr>
          <w:rFonts w:hint="eastAsia"/>
          <w:sz w:val="32"/>
          <w:szCs w:val="32"/>
          <w:lang w:eastAsia="zh-CN"/>
        </w:rPr>
        <w:t>严格查处</w:t>
      </w:r>
      <w:r>
        <w:rPr>
          <w:rFonts w:hint="eastAsia"/>
          <w:sz w:val="32"/>
          <w:szCs w:val="32"/>
        </w:rPr>
        <w:t>不合格产品，从源头保证农业投入品质量。加强农业生产经营主体农业投入品使用监管，建立农业投入品使用档案制度，规范农业投入品使用。建立完善农业投入品监管</w:t>
      </w:r>
      <w:r>
        <w:rPr>
          <w:rFonts w:hint="eastAsia"/>
          <w:sz w:val="32"/>
          <w:szCs w:val="32"/>
          <w:lang w:eastAsia="zh-CN"/>
        </w:rPr>
        <w:t>信息</w:t>
      </w:r>
      <w:r>
        <w:rPr>
          <w:rFonts w:hint="eastAsia"/>
          <w:sz w:val="32"/>
          <w:szCs w:val="32"/>
        </w:rPr>
        <w:t>平台，推进农业投入品生产、流通、使用的全程追溯制度，从源头</w:t>
      </w:r>
      <w:r>
        <w:rPr>
          <w:rFonts w:hint="eastAsia"/>
          <w:sz w:val="32"/>
          <w:szCs w:val="32"/>
          <w:lang w:eastAsia="zh-CN"/>
        </w:rPr>
        <w:t>防控禁限用成分隐性添加风险。</w:t>
      </w:r>
      <w:r>
        <w:rPr>
          <w:rFonts w:hint="eastAsia"/>
          <w:sz w:val="32"/>
          <w:szCs w:val="32"/>
        </w:rPr>
        <w:t>到2025年，</w:t>
      </w:r>
      <w:r>
        <w:rPr>
          <w:rFonts w:hint="eastAsia"/>
          <w:sz w:val="32"/>
          <w:szCs w:val="32"/>
          <w:lang w:eastAsia="zh-CN"/>
        </w:rPr>
        <w:t>农业投入品抽检合格率达到</w:t>
      </w:r>
      <w:r>
        <w:rPr>
          <w:rFonts w:hint="eastAsia"/>
          <w:sz w:val="32"/>
          <w:szCs w:val="32"/>
        </w:rPr>
        <w:t>9</w:t>
      </w:r>
      <w:r>
        <w:rPr>
          <w:rFonts w:hint="eastAsia"/>
          <w:sz w:val="32"/>
          <w:szCs w:val="32"/>
          <w:lang w:val="en-US" w:eastAsia="zh-CN"/>
        </w:rPr>
        <w:t>7</w:t>
      </w:r>
      <w:r>
        <w:rPr>
          <w:rFonts w:hint="eastAsia"/>
          <w:sz w:val="32"/>
          <w:szCs w:val="32"/>
        </w:rPr>
        <w:t>%以上。</w:t>
      </w:r>
    </w:p>
    <w:p>
      <w:pPr>
        <w:pStyle w:val="32"/>
        <w:spacing w:line="560" w:lineRule="exact"/>
        <w:ind w:firstLine="562"/>
        <w:rPr>
          <w:sz w:val="32"/>
          <w:szCs w:val="32"/>
        </w:rPr>
      </w:pPr>
      <w:r>
        <w:rPr>
          <w:rFonts w:hint="eastAsia" w:ascii="仿宋_GB2312" w:hAnsi="仿宋_GB2312" w:eastAsia="仿宋_GB2312" w:cs="仿宋_GB2312"/>
          <w:b w:val="0"/>
          <w:bCs w:val="0"/>
          <w:sz w:val="32"/>
          <w:szCs w:val="32"/>
        </w:rPr>
        <w:t>完善农产品质量安全监管制度。</w:t>
      </w:r>
      <w:r>
        <w:rPr>
          <w:rFonts w:hint="eastAsia"/>
          <w:sz w:val="32"/>
          <w:szCs w:val="32"/>
        </w:rPr>
        <w:t>健全农产品质量安全监测体系，完善农产品例行监测、监督抽查制度和生产追溯制度</w:t>
      </w:r>
      <w:r>
        <w:rPr>
          <w:rFonts w:hint="eastAsia"/>
          <w:sz w:val="32"/>
          <w:szCs w:val="32"/>
          <w:lang w:eastAsia="zh-CN"/>
        </w:rPr>
        <w:t>。</w:t>
      </w:r>
      <w:r>
        <w:rPr>
          <w:rFonts w:hint="eastAsia"/>
          <w:sz w:val="32"/>
          <w:szCs w:val="32"/>
        </w:rPr>
        <w:t>强化质检机构考核</w:t>
      </w:r>
      <w:r>
        <w:rPr>
          <w:rFonts w:hint="eastAsia"/>
          <w:sz w:val="32"/>
          <w:szCs w:val="32"/>
          <w:lang w:eastAsia="zh-CN"/>
        </w:rPr>
        <w:t>与能力验证。强化</w:t>
      </w:r>
      <w:r>
        <w:rPr>
          <w:rFonts w:hint="eastAsia"/>
          <w:sz w:val="32"/>
          <w:szCs w:val="32"/>
        </w:rPr>
        <w:t>自治区农产品质量安全追溯平台</w:t>
      </w:r>
      <w:r>
        <w:rPr>
          <w:rFonts w:hint="eastAsia"/>
          <w:sz w:val="32"/>
          <w:szCs w:val="32"/>
          <w:lang w:eastAsia="zh-CN"/>
        </w:rPr>
        <w:t>应用</w:t>
      </w:r>
      <w:r>
        <w:rPr>
          <w:rFonts w:hint="eastAsia"/>
          <w:sz w:val="32"/>
          <w:szCs w:val="32"/>
        </w:rPr>
        <w:t>，建立农产品生产企业信用体系</w:t>
      </w:r>
      <w:r>
        <w:rPr>
          <w:rFonts w:hint="eastAsia"/>
          <w:sz w:val="32"/>
          <w:szCs w:val="32"/>
          <w:lang w:eastAsia="zh-CN"/>
        </w:rPr>
        <w:t>。</w:t>
      </w:r>
      <w:r>
        <w:rPr>
          <w:rFonts w:hint="eastAsia"/>
          <w:sz w:val="32"/>
          <w:szCs w:val="32"/>
        </w:rPr>
        <w:t>推行食用农产品</w:t>
      </w:r>
      <w:r>
        <w:rPr>
          <w:rFonts w:hint="eastAsia"/>
          <w:sz w:val="32"/>
          <w:szCs w:val="32"/>
          <w:lang w:eastAsia="zh-CN"/>
        </w:rPr>
        <w:t>承诺达标</w:t>
      </w:r>
      <w:r>
        <w:rPr>
          <w:rFonts w:hint="eastAsia"/>
          <w:sz w:val="32"/>
          <w:szCs w:val="32"/>
        </w:rPr>
        <w:t>合格证制度，落实农产品质量分级及产地准出、市场准入制度，推进农产品标识化、标准化、身份化</w:t>
      </w:r>
      <w:r>
        <w:rPr>
          <w:rFonts w:hint="eastAsia"/>
          <w:sz w:val="32"/>
          <w:szCs w:val="32"/>
          <w:lang w:eastAsia="zh-CN"/>
        </w:rPr>
        <w:t>管理。</w:t>
      </w:r>
      <w:r>
        <w:rPr>
          <w:rFonts w:hint="eastAsia"/>
          <w:sz w:val="32"/>
          <w:szCs w:val="32"/>
        </w:rPr>
        <w:t>实施质量</w:t>
      </w:r>
      <w:r>
        <w:rPr>
          <w:rFonts w:hint="eastAsia"/>
          <w:sz w:val="32"/>
          <w:szCs w:val="32"/>
          <w:lang w:eastAsia="zh-CN"/>
        </w:rPr>
        <w:t>安全</w:t>
      </w:r>
      <w:r>
        <w:rPr>
          <w:rFonts w:hint="eastAsia"/>
          <w:sz w:val="32"/>
          <w:szCs w:val="32"/>
        </w:rPr>
        <w:t>信息会商制度，建立农产品质量安全风险预警与联防联控机制。到2025年，</w:t>
      </w:r>
      <w:r>
        <w:rPr>
          <w:rFonts w:hint="eastAsia"/>
          <w:sz w:val="32"/>
          <w:szCs w:val="32"/>
          <w:lang w:eastAsia="zh-CN"/>
        </w:rPr>
        <w:t>实现食用农产品承诺达标合格证全覆盖</w:t>
      </w:r>
      <w:r>
        <w:rPr>
          <w:rFonts w:hint="eastAsia"/>
          <w:sz w:val="32"/>
          <w:szCs w:val="32"/>
        </w:rPr>
        <w:t>。</w:t>
      </w:r>
    </w:p>
    <w:p>
      <w:pPr>
        <w:pStyle w:val="4"/>
        <w:keepNext/>
        <w:keepLines/>
        <w:pageBreakBefore w:val="0"/>
        <w:widowControl w:val="0"/>
        <w:kinsoku/>
        <w:wordWrap/>
        <w:overflowPunct/>
        <w:topLinePunct w:val="0"/>
        <w:autoSpaceDE/>
        <w:autoSpaceDN/>
        <w:bidi w:val="0"/>
        <w:adjustRightInd/>
        <w:snapToGrid/>
        <w:spacing w:before="260" w:after="260" w:line="240" w:lineRule="auto"/>
        <w:ind w:left="0" w:leftChars="0" w:right="0" w:rightChars="0" w:firstLine="0" w:firstLineChars="0"/>
        <w:jc w:val="center"/>
        <w:textAlignment w:val="auto"/>
        <w:outlineLvl w:val="1"/>
        <w:rPr>
          <w:rFonts w:hint="eastAsia" w:ascii="楷体_GB2312" w:hAnsi="楷体_GB2312" w:eastAsia="楷体_GB2312" w:cs="楷体_GB2312"/>
          <w:sz w:val="32"/>
          <w:szCs w:val="32"/>
        </w:rPr>
      </w:pPr>
      <w:bookmarkStart w:id="235" w:name="_Toc27818"/>
      <w:r>
        <w:rPr>
          <w:rFonts w:hint="eastAsia" w:ascii="楷体_GB2312" w:hAnsi="楷体_GB2312" w:eastAsia="楷体_GB2312" w:cs="楷体_GB2312"/>
          <w:sz w:val="32"/>
          <w:szCs w:val="32"/>
          <w:lang w:eastAsia="zh-CN"/>
        </w:rPr>
        <w:t>第三节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建立市场价格调节机制</w:t>
      </w:r>
      <w:bookmarkEnd w:id="235"/>
    </w:p>
    <w:p>
      <w:pPr>
        <w:pStyle w:val="32"/>
        <w:spacing w:line="560" w:lineRule="exact"/>
        <w:ind w:firstLine="562"/>
        <w:rPr>
          <w:sz w:val="32"/>
          <w:szCs w:val="32"/>
        </w:rPr>
      </w:pPr>
      <w:r>
        <w:rPr>
          <w:rFonts w:hint="eastAsia" w:ascii="仿宋_GB2312" w:hAnsi="仿宋_GB2312" w:eastAsia="仿宋_GB2312" w:cs="仿宋_GB2312"/>
          <w:b w:val="0"/>
          <w:bCs w:val="0"/>
          <w:sz w:val="32"/>
          <w:szCs w:val="32"/>
        </w:rPr>
        <w:t>健全绿色价格机制。</w:t>
      </w:r>
      <w:r>
        <w:rPr>
          <w:rFonts w:hint="eastAsia"/>
          <w:sz w:val="32"/>
          <w:szCs w:val="32"/>
        </w:rPr>
        <w:t>完善和落实农业资源有偿使用制度，健全资源及其产品价格形成机制，推动农业资源保护与节约利用。深入推进农业水价综合改革，健全农业水价形成机制，实施精准补贴和节水奖励，用价格杠杆引导农民节约用水。建立优质农产品评价体系，完善农产品分等分级制度，持续推进农产品品质和营养成分监测，推进绿色优质农产品优质优价。建立绿色优质农产品产地准出和市场准入制度，严厉打击以假乱真，以次充好的行为，规范市场秩序。探索开展农业生态产品价值评估，健全生态产品经营开发机制，通过原生态、精深加工、休闲旅游、品牌打造等模式，拓展提升生态产品价值，协同推进生态产品市场交易与生态保护补偿，实现生态产品价值有效转化。</w:t>
      </w:r>
    </w:p>
    <w:p>
      <w:pPr>
        <w:pStyle w:val="32"/>
        <w:spacing w:line="560" w:lineRule="exact"/>
        <w:ind w:firstLine="562"/>
        <w:rPr>
          <w:rFonts w:hint="eastAsia"/>
          <w:sz w:val="32"/>
          <w:szCs w:val="32"/>
        </w:rPr>
      </w:pPr>
      <w:r>
        <w:rPr>
          <w:rFonts w:hint="eastAsia" w:ascii="仿宋_GB2312" w:hAnsi="仿宋_GB2312" w:eastAsia="仿宋_GB2312" w:cs="仿宋_GB2312"/>
          <w:b w:val="0"/>
          <w:bCs w:val="0"/>
          <w:sz w:val="32"/>
          <w:szCs w:val="32"/>
        </w:rPr>
        <w:t>培育绿色农业交易市场。</w:t>
      </w:r>
      <w:r>
        <w:rPr>
          <w:rFonts w:hint="eastAsia"/>
          <w:sz w:val="32"/>
          <w:szCs w:val="32"/>
        </w:rPr>
        <w:t>培育和发展交易市场，健全生态产品市场体系，依托规范的公共资源和产权交易平台，探索开展农业排污权、水权等交易，完善农业生态产品价格形成机制。探索建立初始分配、有偿使用、市场交易、纠纷解决、配套服务等制度。推进市场化经营性服务，开展农业生态系统损害监测评价，建立生态环境损害赔偿制度。支持从事农业资源保护、废弃物资源化利用、环境污染治理、绿色生产服务的龙头企业和专业化服务组织，制定高效规范的标准体系。</w:t>
      </w:r>
    </w:p>
    <w:p>
      <w:pPr>
        <w:pStyle w:val="32"/>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640" w:firstLineChars="200"/>
        <w:jc w:val="both"/>
        <w:textAlignment w:val="auto"/>
        <w:outlineLvl w:val="9"/>
        <w:rPr>
          <w:rFonts w:hint="eastAsia"/>
          <w:sz w:val="32"/>
          <w:szCs w:val="32"/>
        </w:rPr>
      </w:pPr>
    </w:p>
    <w:p>
      <w:pPr>
        <w:pStyle w:val="3"/>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黑体" w:hAnsi="黑体" w:eastAsia="黑体" w:cs="黑体"/>
          <w:b w:val="0"/>
          <w:bCs w:val="0"/>
          <w:sz w:val="32"/>
          <w:szCs w:val="32"/>
        </w:rPr>
      </w:pPr>
      <w:bookmarkStart w:id="236" w:name="_Toc16284"/>
      <w:r>
        <w:rPr>
          <w:rFonts w:hint="eastAsia" w:ascii="黑体" w:hAnsi="黑体" w:eastAsia="黑体" w:cs="黑体"/>
          <w:b w:val="0"/>
          <w:bCs w:val="0"/>
          <w:sz w:val="32"/>
          <w:szCs w:val="32"/>
        </w:rPr>
        <w:t xml:space="preserve">第九章 </w:t>
      </w:r>
      <w:bookmarkEnd w:id="232"/>
      <w:r>
        <w:rPr>
          <w:rFonts w:hint="eastAsia" w:ascii="黑体" w:hAnsi="黑体" w:eastAsia="黑体" w:cs="黑体"/>
          <w:b w:val="0"/>
          <w:bCs w:val="0"/>
          <w:sz w:val="32"/>
          <w:szCs w:val="32"/>
        </w:rPr>
        <w:t>规划实施</w:t>
      </w:r>
      <w:bookmarkEnd w:id="236"/>
    </w:p>
    <w:p>
      <w:pPr>
        <w:pStyle w:val="4"/>
        <w:keepNext/>
        <w:keepLines/>
        <w:pageBreakBefore w:val="0"/>
        <w:widowControl w:val="0"/>
        <w:kinsoku/>
        <w:wordWrap/>
        <w:overflowPunct/>
        <w:topLinePunct w:val="0"/>
        <w:autoSpaceDE/>
        <w:autoSpaceDN/>
        <w:bidi w:val="0"/>
        <w:adjustRightInd/>
        <w:snapToGrid/>
        <w:spacing w:before="0" w:after="0" w:line="360" w:lineRule="auto"/>
        <w:ind w:left="0" w:leftChars="0" w:right="0" w:rightChars="0" w:firstLine="0" w:firstLineChars="0"/>
        <w:jc w:val="center"/>
        <w:textAlignment w:val="auto"/>
        <w:rPr>
          <w:rFonts w:hint="eastAsia" w:ascii="楷体_GB2312" w:hAnsi="楷体_GB2312" w:eastAsia="楷体_GB2312" w:cs="楷体_GB2312"/>
          <w:sz w:val="32"/>
          <w:szCs w:val="32"/>
        </w:rPr>
      </w:pPr>
      <w:bookmarkStart w:id="237" w:name="_Toc1354"/>
      <w:r>
        <w:rPr>
          <w:rFonts w:hint="eastAsia" w:ascii="楷体_GB2312" w:hAnsi="楷体_GB2312" w:eastAsia="楷体_GB2312" w:cs="楷体_GB2312"/>
          <w:sz w:val="32"/>
          <w:szCs w:val="32"/>
          <w:lang w:eastAsia="zh-CN"/>
        </w:rPr>
        <w:t>第一节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加强组织领导</w:t>
      </w:r>
      <w:bookmarkEnd w:id="237"/>
    </w:p>
    <w:p>
      <w:pPr>
        <w:widowControl/>
        <w:spacing w:line="56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建立完善自治区负总责、市县抓落实的工作机制。自治区相关部门要加强沟通协调，加大政策支持、工作指导、督导检查力度，形成部门工作合力。各市、县区要成立领导小组，细化工作方案，制定任务清单和工作台账，</w:t>
      </w:r>
      <w:r>
        <w:rPr>
          <w:rFonts w:hint="eastAsia" w:ascii="仿宋_GB2312" w:hAnsi="宋体" w:eastAsia="仿宋_GB2312" w:cs="宋体"/>
          <w:color w:val="auto"/>
          <w:sz w:val="32"/>
          <w:szCs w:val="32"/>
          <w:lang w:eastAsia="zh-CN"/>
        </w:rPr>
        <w:t>协调</w:t>
      </w:r>
      <w:r>
        <w:rPr>
          <w:rFonts w:hint="eastAsia" w:ascii="仿宋_GB2312" w:hAnsi="宋体" w:eastAsia="仿宋_GB2312" w:cs="宋体"/>
          <w:color w:val="auto"/>
          <w:sz w:val="32"/>
          <w:szCs w:val="32"/>
        </w:rPr>
        <w:t>多方力量，</w:t>
      </w:r>
      <w:r>
        <w:rPr>
          <w:rFonts w:hint="eastAsia" w:ascii="仿宋_GB2312" w:hAnsi="宋体" w:eastAsia="仿宋_GB2312" w:cs="宋体"/>
          <w:sz w:val="32"/>
          <w:szCs w:val="32"/>
        </w:rPr>
        <w:t>加快工作推进，确保各项任务落实落地落细。</w:t>
      </w:r>
      <w:bookmarkStart w:id="238" w:name="_Toc2912"/>
    </w:p>
    <w:p>
      <w:pPr>
        <w:keepNext w:val="0"/>
        <w:keepLines w:val="0"/>
        <w:pageBreakBefore w:val="0"/>
        <w:widowControl/>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lang w:eastAsia="zh-CN"/>
        </w:rPr>
        <w:t>第二节</w:t>
      </w:r>
      <w:r>
        <w:rPr>
          <w:rFonts w:hint="eastAsia" w:ascii="楷体_GB2312" w:hAnsi="楷体_GB2312" w:eastAsia="楷体_GB2312" w:cs="楷体_GB2312"/>
          <w:b/>
          <w:bCs/>
          <w:sz w:val="32"/>
          <w:szCs w:val="32"/>
          <w:lang w:val="en-US" w:eastAsia="zh-CN"/>
        </w:rPr>
        <w:t xml:space="preserve"> </w:t>
      </w:r>
      <w:r>
        <w:rPr>
          <w:rFonts w:hint="eastAsia" w:ascii="楷体_GB2312" w:hAnsi="楷体_GB2312" w:eastAsia="楷体_GB2312" w:cs="楷体_GB2312"/>
          <w:b/>
          <w:bCs/>
          <w:sz w:val="32"/>
          <w:szCs w:val="32"/>
        </w:rPr>
        <w:t>加强监测评估</w:t>
      </w:r>
      <w:bookmarkEnd w:id="238"/>
    </w:p>
    <w:p>
      <w:pPr>
        <w:pStyle w:val="14"/>
        <w:spacing w:after="0" w:line="560" w:lineRule="exact"/>
        <w:ind w:left="0" w:leftChars="0" w:firstLine="560"/>
        <w:rPr>
          <w:rFonts w:hint="eastAsia" w:ascii="仿宋_GB2312" w:hAnsi="仿宋_GB2312" w:eastAsia="仿宋_GB2312" w:cs="仿宋_GB2312"/>
          <w:b w:val="0"/>
          <w:bCs w:val="0"/>
          <w:kern w:val="2"/>
          <w:sz w:val="32"/>
          <w:szCs w:val="32"/>
          <w:lang w:val="en-US" w:eastAsia="zh-CN" w:bidi="ar-SA"/>
        </w:rPr>
      </w:pPr>
      <w:r>
        <w:rPr>
          <w:rFonts w:hint="eastAsia" w:ascii="仿宋_GB2312" w:hAnsi="仿宋_GB2312" w:eastAsia="仿宋_GB2312" w:cs="仿宋_GB2312"/>
          <w:b w:val="0"/>
          <w:bCs w:val="0"/>
          <w:kern w:val="2"/>
          <w:sz w:val="32"/>
          <w:szCs w:val="32"/>
          <w:lang w:val="en-US" w:eastAsia="zh-CN" w:bidi="ar-SA"/>
        </w:rPr>
        <w:t>制定农业绿色发展评价指标体系和评估办法，进一步完善综合评价方法，科学运用统计数据、长期固定观测试验数据和重要农业资源台账等数据资源，开展农业绿色发展效果评价。建立健全规划实施监测评估机制，完善化肥农药使用量、废弃物资源化等调查核算方法，加强数据分析、实地调查、工作调度，对规划实施情况进行跟踪监测、科学评估，及时发现和解决规划实施过程中的突出问题。</w:t>
      </w:r>
    </w:p>
    <w:p>
      <w:pPr>
        <w:pStyle w:val="4"/>
        <w:keepNext/>
        <w:keepLines/>
        <w:pageBreakBefore w:val="0"/>
        <w:widowControl w:val="0"/>
        <w:kinsoku/>
        <w:wordWrap/>
        <w:overflowPunct/>
        <w:topLinePunct w:val="0"/>
        <w:autoSpaceDE/>
        <w:autoSpaceDN/>
        <w:bidi w:val="0"/>
        <w:adjustRightInd/>
        <w:snapToGrid/>
        <w:spacing w:before="260" w:after="260" w:line="240" w:lineRule="auto"/>
        <w:ind w:left="0" w:leftChars="0" w:right="0" w:rightChars="0" w:firstLine="0" w:firstLineChars="0"/>
        <w:jc w:val="center"/>
        <w:textAlignment w:val="auto"/>
        <w:outlineLvl w:val="1"/>
        <w:rPr>
          <w:rFonts w:hint="eastAsia" w:ascii="楷体_GB2312" w:hAnsi="楷体_GB2312" w:eastAsia="楷体_GB2312" w:cs="楷体_GB2312"/>
          <w:sz w:val="32"/>
          <w:szCs w:val="32"/>
        </w:rPr>
      </w:pPr>
      <w:bookmarkStart w:id="239" w:name="_Toc31659"/>
      <w:r>
        <w:rPr>
          <w:rFonts w:hint="eastAsia" w:ascii="楷体_GB2312" w:hAnsi="楷体_GB2312" w:eastAsia="楷体_GB2312" w:cs="楷体_GB2312"/>
          <w:sz w:val="32"/>
          <w:szCs w:val="32"/>
          <w:lang w:eastAsia="zh-CN"/>
        </w:rPr>
        <w:t>第三节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加强绩效考核</w:t>
      </w:r>
      <w:bookmarkEnd w:id="239"/>
    </w:p>
    <w:p>
      <w:pPr>
        <w:widowControl/>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建立农业绿色发展的目标责任、考核制度、奖惩机制，强化制度约束，切实改变农业过度依赖资源消耗的发展方式。加强规划实施管理，建立</w:t>
      </w:r>
      <w:r>
        <w:rPr>
          <w:rFonts w:hint="eastAsia" w:ascii="仿宋_GB2312" w:hAnsi="宋体" w:eastAsia="仿宋_GB2312" w:cs="宋体"/>
          <w:sz w:val="32"/>
          <w:szCs w:val="32"/>
          <w:lang w:eastAsia="zh-CN"/>
        </w:rPr>
        <w:t>规划实施评估</w:t>
      </w:r>
      <w:r>
        <w:rPr>
          <w:rFonts w:hint="eastAsia" w:ascii="仿宋_GB2312" w:hAnsi="宋体" w:eastAsia="仿宋_GB2312" w:cs="宋体"/>
          <w:sz w:val="32"/>
          <w:szCs w:val="32"/>
        </w:rPr>
        <w:t>工作机制。探索将耕地保护、节约用水、化肥农药减量、养殖投入品规范使用、废弃物资源化利用等农业绿色发展任务完成情况纳入领导干部任期生态文明建设责任制、</w:t>
      </w:r>
      <w:r>
        <w:rPr>
          <w:rFonts w:hint="eastAsia" w:ascii="仿宋_GB2312" w:hAnsi="宋体" w:eastAsia="仿宋_GB2312" w:cs="宋体"/>
          <w:sz w:val="32"/>
          <w:szCs w:val="32"/>
          <w:lang w:eastAsia="zh-CN"/>
        </w:rPr>
        <w:t>实施</w:t>
      </w:r>
      <w:r>
        <w:rPr>
          <w:rFonts w:hint="eastAsia" w:ascii="仿宋_GB2312" w:hAnsi="宋体" w:eastAsia="仿宋_GB2312" w:cs="宋体"/>
          <w:sz w:val="32"/>
          <w:szCs w:val="32"/>
        </w:rPr>
        <w:t>乡村振兴</w:t>
      </w:r>
      <w:r>
        <w:rPr>
          <w:rFonts w:hint="eastAsia" w:ascii="仿宋_GB2312" w:hAnsi="宋体" w:eastAsia="仿宋_GB2312" w:cs="宋体"/>
          <w:sz w:val="32"/>
          <w:szCs w:val="32"/>
          <w:lang w:eastAsia="zh-CN"/>
        </w:rPr>
        <w:t>战略</w:t>
      </w:r>
      <w:r>
        <w:rPr>
          <w:rFonts w:hint="eastAsia" w:ascii="仿宋_GB2312" w:hAnsi="宋体" w:eastAsia="仿宋_GB2312" w:cs="宋体"/>
          <w:sz w:val="32"/>
          <w:szCs w:val="32"/>
        </w:rPr>
        <w:t>综合考</w:t>
      </w:r>
      <w:r>
        <w:rPr>
          <w:rFonts w:hint="eastAsia" w:ascii="仿宋_GB2312" w:hAnsi="宋体" w:eastAsia="仿宋_GB2312" w:cs="宋体"/>
          <w:sz w:val="32"/>
          <w:szCs w:val="32"/>
          <w:lang w:eastAsia="zh-CN"/>
        </w:rPr>
        <w:t>评内容</w:t>
      </w:r>
      <w:r>
        <w:rPr>
          <w:rFonts w:hint="eastAsia" w:ascii="仿宋_GB2312" w:hAnsi="宋体" w:eastAsia="仿宋_GB2312" w:cs="宋体"/>
          <w:sz w:val="32"/>
          <w:szCs w:val="32"/>
        </w:rPr>
        <w:t>。综合应用奖惩激励措施，</w:t>
      </w:r>
      <w:r>
        <w:rPr>
          <w:rFonts w:hint="eastAsia" w:ascii="仿宋_GB2312" w:hAnsi="宋体" w:eastAsia="仿宋_GB2312" w:cs="宋体"/>
          <w:color w:val="auto"/>
          <w:sz w:val="32"/>
          <w:szCs w:val="32"/>
        </w:rPr>
        <w:t>加强绩效考核，严格结果应用，</w:t>
      </w:r>
      <w:r>
        <w:rPr>
          <w:rFonts w:hint="eastAsia" w:ascii="仿宋_GB2312" w:hAnsi="宋体" w:eastAsia="仿宋_GB2312" w:cs="宋体"/>
          <w:sz w:val="32"/>
          <w:szCs w:val="32"/>
        </w:rPr>
        <w:t>切实推动各级政府和部门在建设国家绿色发展先行区上行动有力、卓有成效。</w:t>
      </w:r>
    </w:p>
    <w:p>
      <w:pPr>
        <w:pStyle w:val="4"/>
        <w:keepNext/>
        <w:keepLines/>
        <w:pageBreakBefore w:val="0"/>
        <w:widowControl w:val="0"/>
        <w:kinsoku/>
        <w:wordWrap/>
        <w:overflowPunct/>
        <w:topLinePunct w:val="0"/>
        <w:autoSpaceDE/>
        <w:autoSpaceDN/>
        <w:bidi w:val="0"/>
        <w:adjustRightInd/>
        <w:snapToGrid/>
        <w:spacing w:before="260" w:after="260" w:line="240" w:lineRule="auto"/>
        <w:ind w:left="0" w:leftChars="0" w:right="0" w:rightChars="0" w:firstLine="0" w:firstLineChars="0"/>
        <w:jc w:val="center"/>
        <w:textAlignment w:val="auto"/>
        <w:outlineLvl w:val="1"/>
        <w:rPr>
          <w:rFonts w:hint="eastAsia" w:ascii="楷体_GB2312" w:hAnsi="楷体_GB2312" w:eastAsia="楷体_GB2312" w:cs="楷体_GB2312"/>
          <w:sz w:val="32"/>
          <w:szCs w:val="32"/>
        </w:rPr>
      </w:pPr>
      <w:bookmarkStart w:id="240" w:name="_Toc19285"/>
      <w:r>
        <w:rPr>
          <w:rFonts w:hint="eastAsia" w:ascii="楷体_GB2312" w:hAnsi="楷体_GB2312" w:eastAsia="楷体_GB2312" w:cs="楷体_GB2312"/>
          <w:sz w:val="32"/>
          <w:szCs w:val="32"/>
          <w:lang w:eastAsia="zh-CN"/>
        </w:rPr>
        <w:t>第四节</w:t>
      </w:r>
      <w:r>
        <w:rPr>
          <w:rFonts w:hint="eastAsia" w:ascii="楷体_GB2312" w:hAnsi="楷体_GB2312" w:eastAsia="楷体_GB2312" w:cs="楷体_GB2312"/>
          <w:sz w:val="32"/>
          <w:szCs w:val="32"/>
          <w:lang w:val="en-US" w:eastAsia="zh-CN"/>
        </w:rPr>
        <w:t xml:space="preserve"> </w:t>
      </w:r>
      <w:r>
        <w:rPr>
          <w:rFonts w:hint="eastAsia" w:ascii="楷体_GB2312" w:hAnsi="楷体_GB2312" w:eastAsia="楷体_GB2312" w:cs="楷体_GB2312"/>
          <w:sz w:val="32"/>
          <w:szCs w:val="32"/>
        </w:rPr>
        <w:t>加强示范宣传</w:t>
      </w:r>
      <w:bookmarkEnd w:id="240"/>
    </w:p>
    <w:p>
      <w:pPr>
        <w:widowControl/>
        <w:spacing w:line="560" w:lineRule="exact"/>
        <w:ind w:firstLine="640" w:firstLineChars="200"/>
        <w:rPr>
          <w:rFonts w:ascii="仿宋_GB2312" w:hAnsi="宋体" w:eastAsia="仿宋_GB2312" w:cs="宋体"/>
          <w:sz w:val="32"/>
          <w:szCs w:val="32"/>
        </w:rPr>
      </w:pPr>
      <w:r>
        <w:rPr>
          <w:rFonts w:hint="eastAsia" w:ascii="仿宋_GB2312" w:hAnsi="宋体" w:eastAsia="仿宋_GB2312" w:cs="宋体"/>
          <w:sz w:val="32"/>
          <w:szCs w:val="32"/>
        </w:rPr>
        <w:t>利用宪法宣传周、中国农民丰收节等重要时间节点，开展农业绿色发展法律法规宣传教育，增强农民节约资源、保护环境的法治观念。实施农业绿色发展全民行动，广泛开展绿色低碳生产生活宣传，推动形成厉行节约、反对浪费的绿色生活方式，营造全社会共同推进农业绿色发展的良好氛围。强化示范引领，在青铜峡、中宁两个第一批先行先试试点县（市）建设农业绿色发展全指标监测站（点），打造整县推进示范样板，总结建设成效和经验。各市、县（区）结合重点任务每年建设</w:t>
      </w:r>
      <w:r>
        <w:rPr>
          <w:rFonts w:hint="eastAsia" w:ascii="Times New Roman" w:hAnsi="Times New Roman" w:eastAsia="仿宋_GB2312" w:cs="Times New Roman"/>
          <w:sz w:val="28"/>
          <w:szCs w:val="28"/>
          <w:lang w:val="en-US" w:eastAsia="zh-CN"/>
        </w:rPr>
        <w:t>3</w:t>
      </w:r>
      <w:r>
        <w:rPr>
          <w:rFonts w:hint="eastAsia" w:ascii="仿宋_GB2312" w:hAnsi="宋体" w:eastAsia="仿宋_GB2312" w:cs="宋体"/>
          <w:sz w:val="32"/>
          <w:szCs w:val="32"/>
        </w:rPr>
        <w:t>个以上单项任务示范点，强化指标监测，打造具有区域或产业特色的绿色发展样板，形成可复制推广的农业绿色发展模式。</w:t>
      </w:r>
    </w:p>
    <w:p>
      <w:pPr>
        <w:pStyle w:val="14"/>
        <w:spacing w:after="0"/>
        <w:ind w:firstLine="560"/>
        <w:rPr>
          <w:sz w:val="32"/>
          <w:szCs w:val="32"/>
        </w:rPr>
      </w:pPr>
    </w:p>
    <w:p>
      <w:pPr>
        <w:pStyle w:val="2"/>
        <w:rPr>
          <w:rFonts w:hint="eastAsia"/>
          <w:lang w:eastAsia="zh-CN"/>
        </w:rPr>
      </w:pPr>
    </w:p>
    <w:p>
      <w:pPr>
        <w:rPr>
          <w:rFonts w:hint="eastAsia"/>
        </w:rPr>
      </w:pPr>
    </w:p>
    <w:p>
      <w:pPr>
        <w:pStyle w:val="2"/>
        <w:rPr>
          <w:rFonts w:hint="eastAsia"/>
        </w:rPr>
      </w:pPr>
    </w:p>
    <w:p>
      <w:pPr>
        <w:pStyle w:val="2"/>
        <w:rPr>
          <w:rFonts w:hint="eastAsia"/>
        </w:rPr>
      </w:pPr>
    </w:p>
    <w:p>
      <w:pPr>
        <w:pStyle w:val="2"/>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pStyle w:val="2"/>
        <w:jc w:val="both"/>
        <w:rPr>
          <w:rFonts w:hint="eastAsia"/>
        </w:rPr>
      </w:pPr>
    </w:p>
    <w:p>
      <w:pPr>
        <w:keepNext w:val="0"/>
        <w:keepLines w:val="0"/>
        <w:pageBreakBefore w:val="0"/>
        <w:widowControl w:val="0"/>
        <w:kinsoku/>
        <w:wordWrap/>
        <w:overflowPunct/>
        <w:topLinePunct w:val="0"/>
        <w:autoSpaceDE/>
        <w:autoSpaceDN/>
        <w:bidi w:val="0"/>
        <w:adjustRightInd/>
        <w:snapToGrid/>
        <w:spacing w:line="240" w:lineRule="exact"/>
        <w:ind w:left="0" w:leftChars="0" w:right="0" w:rightChars="0" w:firstLine="0" w:firstLineChars="0"/>
        <w:jc w:val="both"/>
        <w:textAlignment w:val="auto"/>
        <w:outlineLvl w:val="9"/>
        <w:rPr>
          <w:rFonts w:hint="eastAsia"/>
        </w:rPr>
      </w:pPr>
    </w:p>
    <w:p>
      <w:pPr>
        <w:pStyle w:val="2"/>
        <w:keepNext w:val="0"/>
        <w:keepLines w:val="0"/>
        <w:pageBreakBefore w:val="0"/>
        <w:widowControl w:val="0"/>
        <w:kinsoku/>
        <w:wordWrap/>
        <w:overflowPunct/>
        <w:topLinePunct w:val="0"/>
        <w:autoSpaceDE/>
        <w:autoSpaceDN/>
        <w:bidi w:val="0"/>
        <w:adjustRightInd/>
        <w:snapToGrid/>
        <w:spacing w:line="340" w:lineRule="exact"/>
        <w:ind w:left="0" w:leftChars="0" w:right="0" w:rightChars="0" w:firstLine="0" w:firstLineChars="0"/>
        <w:jc w:val="both"/>
        <w:textAlignment w:val="auto"/>
        <w:outlineLvl w:val="9"/>
        <w:rPr>
          <w:rFonts w:hint="eastAsia"/>
        </w:rPr>
      </w:pPr>
      <w:r>
        <w:rPr>
          <w:rFonts w:hint="eastAsia" w:ascii="仿宋_GB2312" w:eastAsia="仿宋_GB2312"/>
          <w:sz w:val="28"/>
          <w:szCs w:val="28"/>
        </w:rPr>
        <mc:AlternateContent>
          <mc:Choice Requires="wps">
            <w:drawing>
              <wp:anchor distT="0" distB="0" distL="114300" distR="114300" simplePos="0" relativeHeight="251664384" behindDoc="0" locked="0" layoutInCell="1" allowOverlap="1">
                <wp:simplePos x="0" y="0"/>
                <wp:positionH relativeFrom="column">
                  <wp:posOffset>-125095</wp:posOffset>
                </wp:positionH>
                <wp:positionV relativeFrom="paragraph">
                  <wp:posOffset>248920</wp:posOffset>
                </wp:positionV>
                <wp:extent cx="5695315" cy="1905"/>
                <wp:effectExtent l="0" t="0" r="0" b="0"/>
                <wp:wrapNone/>
                <wp:docPr id="8" name="直线 2"/>
                <wp:cNvGraphicFramePr/>
                <a:graphic xmlns:a="http://schemas.openxmlformats.org/drawingml/2006/main">
                  <a:graphicData uri="http://schemas.microsoft.com/office/word/2010/wordprocessingShape">
                    <wps:wsp>
                      <wps:cNvCnPr/>
                      <wps:spPr>
                        <a:xfrm>
                          <a:off x="0" y="0"/>
                          <a:ext cx="5695315" cy="190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9.85pt;margin-top:19.6pt;height:0.15pt;width:448.45pt;z-index:251664384;mso-width-relative:page;mso-height-relative:page;" filled="f" stroked="t" coordsize="21600,21600" o:gfxdata="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">
                <v:fill on="f" focussize="0,0"/>
                <v:stroke weight="0.25pt"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600" w:lineRule="exact"/>
        <w:ind w:left="0" w:leftChars="0" w:right="-153" w:rightChars="-73" w:firstLine="0" w:firstLineChars="0"/>
        <w:jc w:val="both"/>
        <w:textAlignment w:val="auto"/>
        <w:outlineLvl w:val="9"/>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eastAsia="zh-CN"/>
        </w:rPr>
        <w:t>抄送：各市、县（区）人民政府。</w:t>
      </w:r>
    </w:p>
    <w:p>
      <w:pPr>
        <w:keepNext w:val="0"/>
        <w:keepLines w:val="0"/>
        <w:pageBreakBefore w:val="0"/>
        <w:widowControl w:val="0"/>
        <w:kinsoku/>
        <w:wordWrap/>
        <w:overflowPunct/>
        <w:topLinePunct w:val="0"/>
        <w:autoSpaceDE/>
        <w:autoSpaceDN/>
        <w:bidi w:val="0"/>
        <w:adjustRightInd/>
        <w:snapToGrid/>
        <w:spacing w:line="600" w:lineRule="exact"/>
        <w:ind w:left="0" w:leftChars="0" w:right="-153" w:rightChars="-73" w:firstLine="0" w:firstLineChars="0"/>
        <w:jc w:val="both"/>
        <w:textAlignment w:val="auto"/>
        <w:outlineLvl w:val="9"/>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rPr>
        <mc:AlternateContent>
          <mc:Choice Requires="wps">
            <w:drawing>
              <wp:anchor distT="0" distB="0" distL="114300" distR="114300" simplePos="0" relativeHeight="251663360" behindDoc="0" locked="0" layoutInCell="1" allowOverlap="1">
                <wp:simplePos x="0" y="0"/>
                <wp:positionH relativeFrom="column">
                  <wp:posOffset>-171450</wp:posOffset>
                </wp:positionH>
                <wp:positionV relativeFrom="paragraph">
                  <wp:posOffset>26035</wp:posOffset>
                </wp:positionV>
                <wp:extent cx="5732780" cy="17780"/>
                <wp:effectExtent l="0" t="0" r="0" b="0"/>
                <wp:wrapNone/>
                <wp:docPr id="7" name="直线 3"/>
                <wp:cNvGraphicFramePr/>
                <a:graphic xmlns:a="http://schemas.openxmlformats.org/drawingml/2006/main">
                  <a:graphicData uri="http://schemas.microsoft.com/office/word/2010/wordprocessingShape">
                    <wps:wsp>
                      <wps:cNvCnPr/>
                      <wps:spPr>
                        <a:xfrm flipV="1">
                          <a:off x="0" y="0"/>
                          <a:ext cx="5732780" cy="17780"/>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3" o:spid="_x0000_s1026" o:spt="20" style="position:absolute;left:0pt;flip:y;margin-left:-13.5pt;margin-top:2.05pt;height:1.4pt;width:451.4pt;z-index:251663360;mso-width-relative:page;mso-height-relative:page;" filled="f" stroked="t" coordsize="21600,21600" o:gfxdata="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C+zNEZ1gAAAAcBAAAPAAAAAAAAAAEAIAAAACIAAABkcnMvZG93bnJldi54bWxQSwECFAAUAAAA&#10;CACHTuJANyvj1vABAADpAwAADgAAAAAAAAABACAAAAAlAQAAZHJzL2Uyb0RvYy54bWxQSwUGAAAA&#10;AAYABgBZAQAAhwUAAAAA&#10;">
                <v:fill on="f" focussize="0,0"/>
                <v:stroke weight="0.25pt" color="#000000" joinstyle="round"/>
                <v:imagedata o:title=""/>
                <o:lock v:ext="edit" aspectratio="f"/>
              </v:line>
            </w:pict>
          </mc:Fallback>
        </mc:AlternateContent>
      </w:r>
      <w:r>
        <w:rPr>
          <w:rFonts w:hint="eastAsia" w:ascii="仿宋_GB2312" w:hAnsi="仿宋_GB2312" w:eastAsia="仿宋_GB2312" w:cs="仿宋_GB2312"/>
          <w:sz w:val="28"/>
          <w:szCs w:val="28"/>
        </w:rPr>
        <w:t>宁夏回族自治区</w:t>
      </w:r>
      <w:r>
        <w:rPr>
          <w:rFonts w:hint="eastAsia" w:ascii="仿宋_GB2312" w:hAnsi="仿宋_GB2312" w:eastAsia="仿宋_GB2312" w:cs="仿宋_GB2312"/>
          <w:sz w:val="28"/>
          <w:szCs w:val="28"/>
          <w:lang w:eastAsia="zh-CN"/>
        </w:rPr>
        <w:t>农业农村厅</w:t>
      </w:r>
      <w:r>
        <w:rPr>
          <w:rFonts w:hint="eastAsia" w:ascii="仿宋_GB2312" w:hAnsi="仿宋_GB2312" w:eastAsia="仿宋_GB2312" w:cs="仿宋_GB2312"/>
          <w:sz w:val="28"/>
          <w:szCs w:val="28"/>
        </w:rPr>
        <w:t xml:space="preserve">办公室         </w:t>
      </w:r>
      <w:r>
        <w:rPr>
          <w:rFonts w:hint="eastAsia" w:ascii="仿宋_GB2312" w:hAnsi="仿宋_GB2312" w:eastAsia="仿宋_GB2312" w:cs="仿宋_GB2312"/>
          <w:sz w:val="28"/>
          <w:szCs w:val="28"/>
          <w:lang w:val="en-US" w:eastAsia="zh-CN"/>
        </w:rPr>
        <w:t xml:space="preserve">   </w:t>
      </w:r>
      <w:r>
        <w:rPr>
          <w:rFonts w:hint="default" w:ascii="Times New Roman" w:hAnsi="Times New Roman" w:eastAsia="仿宋_GB2312" w:cs="Times New Roman"/>
          <w:sz w:val="28"/>
          <w:szCs w:val="28"/>
        </w:rPr>
        <w:t>20</w:t>
      </w:r>
      <w:r>
        <w:rPr>
          <w:rFonts w:hint="default" w:ascii="Times New Roman" w:hAnsi="Times New Roman" w:eastAsia="仿宋_GB2312" w:cs="Times New Roman"/>
          <w:sz w:val="28"/>
          <w:szCs w:val="28"/>
          <w:lang w:val="en-US" w:eastAsia="zh-CN"/>
        </w:rPr>
        <w:t>22</w:t>
      </w:r>
      <w:r>
        <w:rPr>
          <w:rFonts w:hint="eastAsia" w:ascii="仿宋_GB2312" w:hAnsi="仿宋_GB2312" w:eastAsia="仿宋_GB2312" w:cs="仿宋_GB2312"/>
          <w:sz w:val="28"/>
          <w:szCs w:val="28"/>
        </w:rPr>
        <w:t>年</w:t>
      </w:r>
      <w:r>
        <w:rPr>
          <w:rFonts w:hint="eastAsia" w:ascii="Times New Roman" w:hAnsi="Times New Roman" w:eastAsia="仿宋_GB2312" w:cs="Times New Roman"/>
          <w:sz w:val="28"/>
          <w:szCs w:val="28"/>
          <w:lang w:val="en-US" w:eastAsia="zh-CN"/>
        </w:rPr>
        <w:t>4</w:t>
      </w:r>
      <w:r>
        <w:rPr>
          <w:rFonts w:hint="eastAsia" w:ascii="仿宋_GB2312" w:hAnsi="仿宋_GB2312" w:eastAsia="仿宋_GB2312" w:cs="仿宋_GB2312"/>
          <w:sz w:val="28"/>
          <w:szCs w:val="28"/>
        </w:rPr>
        <w:t>月</w:t>
      </w:r>
      <w:r>
        <w:rPr>
          <w:rFonts w:hint="eastAsia" w:ascii="Times New Roman" w:hAnsi="Times New Roman" w:eastAsia="仿宋_GB2312" w:cs="Times New Roman"/>
          <w:sz w:val="28"/>
          <w:szCs w:val="28"/>
          <w:lang w:val="en-US" w:eastAsia="zh-CN"/>
        </w:rPr>
        <w:t>18</w:t>
      </w:r>
      <w:r>
        <w:rPr>
          <w:rFonts w:hint="eastAsia" w:ascii="仿宋_GB2312" w:hAnsi="仿宋_GB2312" w:eastAsia="仿宋_GB2312" w:cs="仿宋_GB2312"/>
          <w:sz w:val="28"/>
          <w:szCs w:val="28"/>
        </w:rPr>
        <w:t>日印发</w:t>
      </w:r>
    </w:p>
    <w:p>
      <w:pPr>
        <w:pStyle w:val="2"/>
        <w:keepNext w:val="0"/>
        <w:keepLines w:val="0"/>
        <w:pageBreakBefore w:val="0"/>
        <w:widowControl w:val="0"/>
        <w:kinsoku/>
        <w:wordWrap/>
        <w:overflowPunct/>
        <w:topLinePunct w:val="0"/>
        <w:autoSpaceDE/>
        <w:autoSpaceDN/>
        <w:bidi w:val="0"/>
        <w:adjustRightInd/>
        <w:snapToGrid/>
        <w:spacing w:line="500" w:lineRule="exact"/>
        <w:ind w:left="0" w:leftChars="0" w:right="0" w:rightChars="0" w:firstLine="0" w:firstLineChars="0"/>
        <w:jc w:val="both"/>
        <w:textAlignment w:val="auto"/>
        <w:outlineLvl w:val="9"/>
      </w:pPr>
      <w:r>
        <w:rPr>
          <w:rFonts w:hint="eastAsia" w:ascii="仿宋_GB2312" w:eastAsia="仿宋_GB2312"/>
          <w:sz w:val="28"/>
          <w:szCs w:val="28"/>
        </w:rPr>
        <mc:AlternateContent>
          <mc:Choice Requires="wps">
            <w:drawing>
              <wp:anchor distT="0" distB="0" distL="114300" distR="114300" simplePos="0" relativeHeight="251662336" behindDoc="0" locked="0" layoutInCell="1" allowOverlap="1">
                <wp:simplePos x="0" y="0"/>
                <wp:positionH relativeFrom="column">
                  <wp:posOffset>-171450</wp:posOffset>
                </wp:positionH>
                <wp:positionV relativeFrom="paragraph">
                  <wp:posOffset>43815</wp:posOffset>
                </wp:positionV>
                <wp:extent cx="5723255" cy="19685"/>
                <wp:effectExtent l="0" t="4445" r="10795" b="13970"/>
                <wp:wrapNone/>
                <wp:docPr id="6" name="直线 4"/>
                <wp:cNvGraphicFramePr/>
                <a:graphic xmlns:a="http://schemas.openxmlformats.org/drawingml/2006/main">
                  <a:graphicData uri="http://schemas.microsoft.com/office/word/2010/wordprocessingShape">
                    <wps:wsp>
                      <wps:cNvCnPr/>
                      <wps:spPr>
                        <a:xfrm>
                          <a:off x="0" y="0"/>
                          <a:ext cx="5723255" cy="19685"/>
                        </a:xfrm>
                        <a:prstGeom prst="line">
                          <a:avLst/>
                        </a:prstGeom>
                        <a:ln w="3175" cap="flat" cmpd="sng">
                          <a:solidFill>
                            <a:srgbClr val="000000"/>
                          </a:solidFill>
                          <a:prstDash val="solid"/>
                          <a:headEnd type="none" w="med" len="med"/>
                          <a:tailEnd type="none" w="med" len="med"/>
                        </a:ln>
                      </wps:spPr>
                      <wps:bodyPr upright="1"/>
                    </wps:wsp>
                  </a:graphicData>
                </a:graphic>
              </wp:anchor>
            </w:drawing>
          </mc:Choice>
          <mc:Fallback>
            <w:pict>
              <v:line id="直线 4" o:spid="_x0000_s1026" o:spt="20" style="position:absolute;left:0pt;margin-left:-13.5pt;margin-top:3.45pt;height:1.55pt;width:450.65pt;z-index:251662336;mso-width-relative:page;mso-height-relative:page;" filled="f" stroked="t" coordsize="21600,21600" o:gfxdata="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">
                <v:fill on="f" focussize="0,0"/>
                <v:stroke weight="0.25pt" color="#000000" joinstyle="round"/>
                <v:imagedata o:title=""/>
                <o:lock v:ext="edit" aspectratio="f"/>
              </v:line>
            </w:pict>
          </mc:Fallback>
        </mc:AlternateContent>
      </w:r>
      <w:r>
        <w:rPr>
          <w:rFonts w:hint="eastAsia" w:ascii="Times New Roman" w:hAnsi="Times New Roman" w:cs="Times New Roman"/>
          <w:kern w:val="2"/>
          <w:sz w:val="32"/>
          <w:szCs w:val="24"/>
          <w:lang w:val="en-US" w:eastAsia="zh-CN" w:bidi="ar-SA"/>
        </w:rPr>
        <w:t xml:space="preserve">  </w:t>
      </w:r>
    </w:p>
    <w:sectPr>
      <w:headerReference r:id="rId3" w:type="default"/>
      <w:footerReference r:id="rId4" w:type="default"/>
      <w:pgSz w:w="11907" w:h="16839"/>
      <w:pgMar w:top="2098" w:right="1474" w:bottom="1984" w:left="1587" w:header="851" w:footer="1400" w:gutter="0"/>
      <w:pgNumType w:fmt="numberInDash"/>
      <w:cols w:space="425" w:num="1"/>
      <w:docGrid w:type="lines" w:linePitch="5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pPr>
    <w: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11"/>
                            <w:jc w:val="center"/>
                            <w:rPr>
                              <w:rFonts w:eastAsia="宋体"/>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B4HF0wAgAAY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eEybMsbPXO&#10;8ggd5fF2dQyQs1M5itIrge7EDWav69PwTuJw/7nvoh7/Dc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FB4HF0wAgAAYwQAAA4AAAAAAAAAAQAgAAAAHwEAAGRycy9lMm9Eb2MueG1sUEsFBgAA&#10;AAAGAAYAWQEAAMEFAAAAAA==&#10;">
              <v:fill on="f" focussize="0,0"/>
              <v:stroke on="f" weight="0.5pt"/>
              <v:imagedata o:title=""/>
              <o:lock v:ext="edit" aspectratio="f"/>
              <v:textbox inset="0mm,0mm,0mm,0mm" style="mso-fit-shape-to-text:t;">
                <w:txbxContent>
                  <w:p>
                    <w:pPr>
                      <w:pStyle w:val="11"/>
                      <w:jc w:val="center"/>
                      <w:rPr>
                        <w:rFonts w:eastAsia="宋体"/>
                        <w:sz w:val="28"/>
                        <w:szCs w:val="28"/>
                      </w:rPr>
                    </w:pP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- 1 -</w:t>
                    </w:r>
                    <w:r>
                      <w:rPr>
                        <w:rFonts w:hint="eastAsia" w:asciiTheme="minorEastAsia" w:hAnsiTheme="minorEastAsia" w:eastAsiaTheme="minorEastAsia" w:cstheme="minorEastAsia"/>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HorizontalSpacing w:val="105"/>
  <w:drawingGridVerticalSpacing w:val="579"/>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549D"/>
    <w:rsid w:val="00006A54"/>
    <w:rsid w:val="000127E5"/>
    <w:rsid w:val="0001496B"/>
    <w:rsid w:val="00015BED"/>
    <w:rsid w:val="00021A5F"/>
    <w:rsid w:val="000537A1"/>
    <w:rsid w:val="00060152"/>
    <w:rsid w:val="00082C46"/>
    <w:rsid w:val="00095933"/>
    <w:rsid w:val="000B0089"/>
    <w:rsid w:val="000B314D"/>
    <w:rsid w:val="000C238C"/>
    <w:rsid w:val="000C344F"/>
    <w:rsid w:val="000C4598"/>
    <w:rsid w:val="000C477D"/>
    <w:rsid w:val="000C760B"/>
    <w:rsid w:val="000D08DF"/>
    <w:rsid w:val="000F14D1"/>
    <w:rsid w:val="000F46FE"/>
    <w:rsid w:val="00102879"/>
    <w:rsid w:val="001071E8"/>
    <w:rsid w:val="0011305D"/>
    <w:rsid w:val="001375F0"/>
    <w:rsid w:val="00137ADD"/>
    <w:rsid w:val="001614A0"/>
    <w:rsid w:val="001730E7"/>
    <w:rsid w:val="00191AB5"/>
    <w:rsid w:val="001953C7"/>
    <w:rsid w:val="001A6FD9"/>
    <w:rsid w:val="001C636B"/>
    <w:rsid w:val="001D3A9F"/>
    <w:rsid w:val="001E79B3"/>
    <w:rsid w:val="001F13D0"/>
    <w:rsid w:val="001F4821"/>
    <w:rsid w:val="00212A70"/>
    <w:rsid w:val="00220EEE"/>
    <w:rsid w:val="0023763D"/>
    <w:rsid w:val="0024244B"/>
    <w:rsid w:val="00256F3B"/>
    <w:rsid w:val="00291A7B"/>
    <w:rsid w:val="00295F4C"/>
    <w:rsid w:val="00296835"/>
    <w:rsid w:val="002A5836"/>
    <w:rsid w:val="002F370B"/>
    <w:rsid w:val="00303316"/>
    <w:rsid w:val="0033790E"/>
    <w:rsid w:val="003431E7"/>
    <w:rsid w:val="00345AD3"/>
    <w:rsid w:val="00367619"/>
    <w:rsid w:val="0037044F"/>
    <w:rsid w:val="003B12A4"/>
    <w:rsid w:val="003D3CDC"/>
    <w:rsid w:val="003D41AE"/>
    <w:rsid w:val="003E1387"/>
    <w:rsid w:val="003F28D9"/>
    <w:rsid w:val="004222D5"/>
    <w:rsid w:val="004348E2"/>
    <w:rsid w:val="0043619D"/>
    <w:rsid w:val="00446D6C"/>
    <w:rsid w:val="00456C46"/>
    <w:rsid w:val="004601E8"/>
    <w:rsid w:val="0046549D"/>
    <w:rsid w:val="00466D9B"/>
    <w:rsid w:val="00472DD5"/>
    <w:rsid w:val="004764CE"/>
    <w:rsid w:val="00477474"/>
    <w:rsid w:val="00486C32"/>
    <w:rsid w:val="00495C96"/>
    <w:rsid w:val="004A7646"/>
    <w:rsid w:val="004C2FD7"/>
    <w:rsid w:val="004C52C7"/>
    <w:rsid w:val="004C6FF0"/>
    <w:rsid w:val="004D4043"/>
    <w:rsid w:val="004F7E23"/>
    <w:rsid w:val="00517A73"/>
    <w:rsid w:val="00520B65"/>
    <w:rsid w:val="00535D99"/>
    <w:rsid w:val="00582E1C"/>
    <w:rsid w:val="005A0948"/>
    <w:rsid w:val="005B28B6"/>
    <w:rsid w:val="005C69F9"/>
    <w:rsid w:val="005D7478"/>
    <w:rsid w:val="005D7883"/>
    <w:rsid w:val="006414E4"/>
    <w:rsid w:val="00660806"/>
    <w:rsid w:val="0067498E"/>
    <w:rsid w:val="00680979"/>
    <w:rsid w:val="00682A62"/>
    <w:rsid w:val="00685D55"/>
    <w:rsid w:val="00687004"/>
    <w:rsid w:val="006976A1"/>
    <w:rsid w:val="006A322A"/>
    <w:rsid w:val="006B21C3"/>
    <w:rsid w:val="006C53B7"/>
    <w:rsid w:val="006E6341"/>
    <w:rsid w:val="006F6155"/>
    <w:rsid w:val="00703F7B"/>
    <w:rsid w:val="00732A31"/>
    <w:rsid w:val="00762E85"/>
    <w:rsid w:val="007A30F4"/>
    <w:rsid w:val="007A76E7"/>
    <w:rsid w:val="007B51C2"/>
    <w:rsid w:val="007C3EB6"/>
    <w:rsid w:val="008200C8"/>
    <w:rsid w:val="008265B9"/>
    <w:rsid w:val="00840A18"/>
    <w:rsid w:val="00845005"/>
    <w:rsid w:val="00847A43"/>
    <w:rsid w:val="008619A4"/>
    <w:rsid w:val="00873F9C"/>
    <w:rsid w:val="00883744"/>
    <w:rsid w:val="00890EEA"/>
    <w:rsid w:val="00891F07"/>
    <w:rsid w:val="008964F8"/>
    <w:rsid w:val="008A62A8"/>
    <w:rsid w:val="008B1B6A"/>
    <w:rsid w:val="008B2381"/>
    <w:rsid w:val="008C47A0"/>
    <w:rsid w:val="008E6636"/>
    <w:rsid w:val="008F0CBC"/>
    <w:rsid w:val="0090098E"/>
    <w:rsid w:val="00906B6F"/>
    <w:rsid w:val="009271EC"/>
    <w:rsid w:val="00927624"/>
    <w:rsid w:val="0096692B"/>
    <w:rsid w:val="00976FB3"/>
    <w:rsid w:val="00977B1C"/>
    <w:rsid w:val="00984F9C"/>
    <w:rsid w:val="009913BB"/>
    <w:rsid w:val="00996898"/>
    <w:rsid w:val="009A23AA"/>
    <w:rsid w:val="009B17C0"/>
    <w:rsid w:val="009B2DA7"/>
    <w:rsid w:val="009B390E"/>
    <w:rsid w:val="009B46D7"/>
    <w:rsid w:val="009C5D1F"/>
    <w:rsid w:val="009D1C94"/>
    <w:rsid w:val="009D4CD1"/>
    <w:rsid w:val="00A21C93"/>
    <w:rsid w:val="00A220CC"/>
    <w:rsid w:val="00A37D0E"/>
    <w:rsid w:val="00A501D5"/>
    <w:rsid w:val="00A55A05"/>
    <w:rsid w:val="00A60B86"/>
    <w:rsid w:val="00A81449"/>
    <w:rsid w:val="00A83B59"/>
    <w:rsid w:val="00A950A4"/>
    <w:rsid w:val="00AB2F81"/>
    <w:rsid w:val="00B11E41"/>
    <w:rsid w:val="00B14B58"/>
    <w:rsid w:val="00B24545"/>
    <w:rsid w:val="00B248B9"/>
    <w:rsid w:val="00B328E1"/>
    <w:rsid w:val="00B35CE0"/>
    <w:rsid w:val="00B42DAD"/>
    <w:rsid w:val="00B4418A"/>
    <w:rsid w:val="00B44B99"/>
    <w:rsid w:val="00B45F45"/>
    <w:rsid w:val="00B53894"/>
    <w:rsid w:val="00B54901"/>
    <w:rsid w:val="00B65260"/>
    <w:rsid w:val="00B75266"/>
    <w:rsid w:val="00B92D24"/>
    <w:rsid w:val="00BA24C4"/>
    <w:rsid w:val="00BB127D"/>
    <w:rsid w:val="00BD2336"/>
    <w:rsid w:val="00BE5C8C"/>
    <w:rsid w:val="00BF48D0"/>
    <w:rsid w:val="00BF570B"/>
    <w:rsid w:val="00C07995"/>
    <w:rsid w:val="00C1191B"/>
    <w:rsid w:val="00C15FBD"/>
    <w:rsid w:val="00C26929"/>
    <w:rsid w:val="00C41A9D"/>
    <w:rsid w:val="00C44C80"/>
    <w:rsid w:val="00C478C5"/>
    <w:rsid w:val="00C807AC"/>
    <w:rsid w:val="00CB664D"/>
    <w:rsid w:val="00CC3EB4"/>
    <w:rsid w:val="00CE1F31"/>
    <w:rsid w:val="00CE5C6F"/>
    <w:rsid w:val="00D118A1"/>
    <w:rsid w:val="00D268B1"/>
    <w:rsid w:val="00D41330"/>
    <w:rsid w:val="00D522BB"/>
    <w:rsid w:val="00D53B53"/>
    <w:rsid w:val="00D700B9"/>
    <w:rsid w:val="00D745CB"/>
    <w:rsid w:val="00D76DEC"/>
    <w:rsid w:val="00D82230"/>
    <w:rsid w:val="00DA0DEC"/>
    <w:rsid w:val="00DA2E3E"/>
    <w:rsid w:val="00DC1D9B"/>
    <w:rsid w:val="00DE2A9C"/>
    <w:rsid w:val="00DE7331"/>
    <w:rsid w:val="00DF311E"/>
    <w:rsid w:val="00E10031"/>
    <w:rsid w:val="00E12CE5"/>
    <w:rsid w:val="00E149A9"/>
    <w:rsid w:val="00E22DC8"/>
    <w:rsid w:val="00E343C3"/>
    <w:rsid w:val="00E40690"/>
    <w:rsid w:val="00E531E6"/>
    <w:rsid w:val="00E538BF"/>
    <w:rsid w:val="00E545DE"/>
    <w:rsid w:val="00E55156"/>
    <w:rsid w:val="00E568E7"/>
    <w:rsid w:val="00E6010C"/>
    <w:rsid w:val="00E671CE"/>
    <w:rsid w:val="00EC416E"/>
    <w:rsid w:val="00EF2A93"/>
    <w:rsid w:val="00F22D6B"/>
    <w:rsid w:val="00F232C7"/>
    <w:rsid w:val="00F32D14"/>
    <w:rsid w:val="00F4069B"/>
    <w:rsid w:val="00F444A4"/>
    <w:rsid w:val="00F63981"/>
    <w:rsid w:val="00F64959"/>
    <w:rsid w:val="00F70D7F"/>
    <w:rsid w:val="00F90408"/>
    <w:rsid w:val="00F9307F"/>
    <w:rsid w:val="00FA7D84"/>
    <w:rsid w:val="00FB56A4"/>
    <w:rsid w:val="00FC252D"/>
    <w:rsid w:val="00FD6E62"/>
    <w:rsid w:val="00FE3E57"/>
    <w:rsid w:val="00FE5B52"/>
    <w:rsid w:val="00FF0406"/>
    <w:rsid w:val="01CB5B4B"/>
    <w:rsid w:val="01E276CC"/>
    <w:rsid w:val="026B673A"/>
    <w:rsid w:val="02C318EB"/>
    <w:rsid w:val="035A542B"/>
    <w:rsid w:val="035F0B7E"/>
    <w:rsid w:val="03E24449"/>
    <w:rsid w:val="041567DE"/>
    <w:rsid w:val="04A55C3F"/>
    <w:rsid w:val="04B04C13"/>
    <w:rsid w:val="057C63BA"/>
    <w:rsid w:val="061116CC"/>
    <w:rsid w:val="06617022"/>
    <w:rsid w:val="06A46BAD"/>
    <w:rsid w:val="06F65CEB"/>
    <w:rsid w:val="075568DB"/>
    <w:rsid w:val="07894A20"/>
    <w:rsid w:val="079D367A"/>
    <w:rsid w:val="08586E07"/>
    <w:rsid w:val="08B10E94"/>
    <w:rsid w:val="08FD29E4"/>
    <w:rsid w:val="09327E3E"/>
    <w:rsid w:val="09FD5C86"/>
    <w:rsid w:val="0A1860A2"/>
    <w:rsid w:val="0A1D5274"/>
    <w:rsid w:val="0A9402EB"/>
    <w:rsid w:val="0B37732D"/>
    <w:rsid w:val="0B6E4505"/>
    <w:rsid w:val="0BFF2FC3"/>
    <w:rsid w:val="0C6A40CB"/>
    <w:rsid w:val="0CA735FC"/>
    <w:rsid w:val="0CC5155E"/>
    <w:rsid w:val="0D237D88"/>
    <w:rsid w:val="0D485E13"/>
    <w:rsid w:val="0EC62EF0"/>
    <w:rsid w:val="0F4F5F80"/>
    <w:rsid w:val="0FDF51F0"/>
    <w:rsid w:val="10CC2941"/>
    <w:rsid w:val="10F162CC"/>
    <w:rsid w:val="114E15CA"/>
    <w:rsid w:val="11EB417C"/>
    <w:rsid w:val="12BC4DFA"/>
    <w:rsid w:val="12E5223E"/>
    <w:rsid w:val="137C1B6D"/>
    <w:rsid w:val="15140235"/>
    <w:rsid w:val="1554649E"/>
    <w:rsid w:val="16587E6B"/>
    <w:rsid w:val="16C77AA0"/>
    <w:rsid w:val="178D0207"/>
    <w:rsid w:val="18AA0F61"/>
    <w:rsid w:val="18AB0D0E"/>
    <w:rsid w:val="1A0D72FF"/>
    <w:rsid w:val="1AB519E0"/>
    <w:rsid w:val="1AEE1A0C"/>
    <w:rsid w:val="1B1B74E9"/>
    <w:rsid w:val="1BDC50D2"/>
    <w:rsid w:val="1C4D0034"/>
    <w:rsid w:val="1EA64710"/>
    <w:rsid w:val="1ECF0F92"/>
    <w:rsid w:val="1EF51A5E"/>
    <w:rsid w:val="1F59345E"/>
    <w:rsid w:val="1F7256E3"/>
    <w:rsid w:val="1F7A757C"/>
    <w:rsid w:val="1FF97AD0"/>
    <w:rsid w:val="20541FB7"/>
    <w:rsid w:val="20E72358"/>
    <w:rsid w:val="217E31F3"/>
    <w:rsid w:val="22A80616"/>
    <w:rsid w:val="22FB2161"/>
    <w:rsid w:val="23727B43"/>
    <w:rsid w:val="23872885"/>
    <w:rsid w:val="2397042F"/>
    <w:rsid w:val="241253B4"/>
    <w:rsid w:val="242B5B97"/>
    <w:rsid w:val="24676657"/>
    <w:rsid w:val="257E76B7"/>
    <w:rsid w:val="26FA2435"/>
    <w:rsid w:val="28681A9A"/>
    <w:rsid w:val="28870555"/>
    <w:rsid w:val="28CA7B54"/>
    <w:rsid w:val="2925232F"/>
    <w:rsid w:val="29A16941"/>
    <w:rsid w:val="29A44E20"/>
    <w:rsid w:val="2CAD542F"/>
    <w:rsid w:val="2DE225CE"/>
    <w:rsid w:val="2DEA4211"/>
    <w:rsid w:val="2E9E734A"/>
    <w:rsid w:val="2EED52A4"/>
    <w:rsid w:val="2EF12782"/>
    <w:rsid w:val="2F515B16"/>
    <w:rsid w:val="2FAF675B"/>
    <w:rsid w:val="2FDB2C67"/>
    <w:rsid w:val="2FDB6EEF"/>
    <w:rsid w:val="304B65B1"/>
    <w:rsid w:val="309F76BF"/>
    <w:rsid w:val="30D65AA4"/>
    <w:rsid w:val="30DD43FD"/>
    <w:rsid w:val="30FE379D"/>
    <w:rsid w:val="313775F3"/>
    <w:rsid w:val="31574A54"/>
    <w:rsid w:val="31D50290"/>
    <w:rsid w:val="321B518D"/>
    <w:rsid w:val="322B0CA9"/>
    <w:rsid w:val="326A589F"/>
    <w:rsid w:val="32DD53A3"/>
    <w:rsid w:val="33B94781"/>
    <w:rsid w:val="34121405"/>
    <w:rsid w:val="352478C7"/>
    <w:rsid w:val="373F1CCA"/>
    <w:rsid w:val="38110681"/>
    <w:rsid w:val="38303C3F"/>
    <w:rsid w:val="38C87D8E"/>
    <w:rsid w:val="39561B78"/>
    <w:rsid w:val="3B257D74"/>
    <w:rsid w:val="3B6850F9"/>
    <w:rsid w:val="3B9266DD"/>
    <w:rsid w:val="3CB175C8"/>
    <w:rsid w:val="3CE149E1"/>
    <w:rsid w:val="3DCF05C3"/>
    <w:rsid w:val="3DEE7306"/>
    <w:rsid w:val="3E156DCC"/>
    <w:rsid w:val="3E5245C8"/>
    <w:rsid w:val="3E7037E2"/>
    <w:rsid w:val="3EDD12C2"/>
    <w:rsid w:val="3FF8194C"/>
    <w:rsid w:val="40E82E41"/>
    <w:rsid w:val="41292E8A"/>
    <w:rsid w:val="41EA3F03"/>
    <w:rsid w:val="4208702C"/>
    <w:rsid w:val="441C7BA7"/>
    <w:rsid w:val="44393120"/>
    <w:rsid w:val="44485081"/>
    <w:rsid w:val="46925E68"/>
    <w:rsid w:val="46CF3782"/>
    <w:rsid w:val="47064679"/>
    <w:rsid w:val="475C0E66"/>
    <w:rsid w:val="48691F1C"/>
    <w:rsid w:val="48744E29"/>
    <w:rsid w:val="48B63163"/>
    <w:rsid w:val="49B21E72"/>
    <w:rsid w:val="4A6A3DA0"/>
    <w:rsid w:val="4B6530D9"/>
    <w:rsid w:val="4BBE3026"/>
    <w:rsid w:val="4C3344F4"/>
    <w:rsid w:val="4CBB2F73"/>
    <w:rsid w:val="4D2F0D86"/>
    <w:rsid w:val="4D321360"/>
    <w:rsid w:val="4D4F1F26"/>
    <w:rsid w:val="4DDE2122"/>
    <w:rsid w:val="4E1F309E"/>
    <w:rsid w:val="4E213C13"/>
    <w:rsid w:val="4F156DF9"/>
    <w:rsid w:val="4FCC3A3B"/>
    <w:rsid w:val="502D4394"/>
    <w:rsid w:val="513D2E03"/>
    <w:rsid w:val="52683676"/>
    <w:rsid w:val="52DC01E9"/>
    <w:rsid w:val="53893C2B"/>
    <w:rsid w:val="53CE0842"/>
    <w:rsid w:val="54536891"/>
    <w:rsid w:val="56EF4981"/>
    <w:rsid w:val="57193B5F"/>
    <w:rsid w:val="577F3B96"/>
    <w:rsid w:val="582B351B"/>
    <w:rsid w:val="583D6A15"/>
    <w:rsid w:val="58F9511D"/>
    <w:rsid w:val="59E27E50"/>
    <w:rsid w:val="59F95CDA"/>
    <w:rsid w:val="5A967791"/>
    <w:rsid w:val="5ABD531F"/>
    <w:rsid w:val="5B736CC8"/>
    <w:rsid w:val="5BDE6471"/>
    <w:rsid w:val="5C2B1521"/>
    <w:rsid w:val="5D8B5DAB"/>
    <w:rsid w:val="5E302D6C"/>
    <w:rsid w:val="5E5A2DC2"/>
    <w:rsid w:val="5E5C6AA9"/>
    <w:rsid w:val="5ED64CE3"/>
    <w:rsid w:val="5F6861D7"/>
    <w:rsid w:val="5F716E47"/>
    <w:rsid w:val="5F8D05E2"/>
    <w:rsid w:val="6056258A"/>
    <w:rsid w:val="609A37FD"/>
    <w:rsid w:val="60B51E69"/>
    <w:rsid w:val="60CB0BE8"/>
    <w:rsid w:val="60F125C6"/>
    <w:rsid w:val="61127603"/>
    <w:rsid w:val="611A7A8D"/>
    <w:rsid w:val="61A460AC"/>
    <w:rsid w:val="63E96E5E"/>
    <w:rsid w:val="63F554AF"/>
    <w:rsid w:val="640F30EA"/>
    <w:rsid w:val="64226016"/>
    <w:rsid w:val="64486544"/>
    <w:rsid w:val="64F2751B"/>
    <w:rsid w:val="67373723"/>
    <w:rsid w:val="67C5096F"/>
    <w:rsid w:val="680736C3"/>
    <w:rsid w:val="68733968"/>
    <w:rsid w:val="687508D1"/>
    <w:rsid w:val="692348B3"/>
    <w:rsid w:val="696C3C58"/>
    <w:rsid w:val="69783481"/>
    <w:rsid w:val="69C07066"/>
    <w:rsid w:val="6A4A6284"/>
    <w:rsid w:val="6B853477"/>
    <w:rsid w:val="6B957CA2"/>
    <w:rsid w:val="6B9B45AF"/>
    <w:rsid w:val="6BF355AC"/>
    <w:rsid w:val="6BF95A19"/>
    <w:rsid w:val="6CA40AAF"/>
    <w:rsid w:val="6DB03FA5"/>
    <w:rsid w:val="6DBF79F8"/>
    <w:rsid w:val="6E4A3141"/>
    <w:rsid w:val="6E693F11"/>
    <w:rsid w:val="6E9F6574"/>
    <w:rsid w:val="6FA6327B"/>
    <w:rsid w:val="6FDD67D5"/>
    <w:rsid w:val="6FFC2F54"/>
    <w:rsid w:val="709F6933"/>
    <w:rsid w:val="71B67AF9"/>
    <w:rsid w:val="71FE6C3E"/>
    <w:rsid w:val="725D4317"/>
    <w:rsid w:val="72682E5F"/>
    <w:rsid w:val="731B7DD9"/>
    <w:rsid w:val="739D3A72"/>
    <w:rsid w:val="746C0EF1"/>
    <w:rsid w:val="74836E1A"/>
    <w:rsid w:val="74BB3A84"/>
    <w:rsid w:val="754F1CDA"/>
    <w:rsid w:val="76341BEE"/>
    <w:rsid w:val="76C96D87"/>
    <w:rsid w:val="77826325"/>
    <w:rsid w:val="77EA0B54"/>
    <w:rsid w:val="77EF195E"/>
    <w:rsid w:val="786E6894"/>
    <w:rsid w:val="793D312A"/>
    <w:rsid w:val="798D32DD"/>
    <w:rsid w:val="79B201CC"/>
    <w:rsid w:val="79B43A0C"/>
    <w:rsid w:val="7A115A9C"/>
    <w:rsid w:val="7B8E5E05"/>
    <w:rsid w:val="7BF23F60"/>
    <w:rsid w:val="7C603BD3"/>
    <w:rsid w:val="7C8A100F"/>
    <w:rsid w:val="7CA73C19"/>
    <w:rsid w:val="7CDB518C"/>
    <w:rsid w:val="7CEF72F6"/>
    <w:rsid w:val="7D955D97"/>
    <w:rsid w:val="7DBD55A1"/>
    <w:rsid w:val="7EA500ED"/>
    <w:rsid w:val="7EB2132E"/>
    <w:rsid w:val="7F2C30E1"/>
    <w:rsid w:val="7F61170B"/>
    <w:rsid w:val="7FD86AA7"/>
    <w:rsid w:val="7FDB5E0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qFormat="1" w:uiPriority="99" w:semiHidden="0"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23"/>
    <w:qFormat/>
    <w:uiPriority w:val="9"/>
    <w:pPr>
      <w:keepNext/>
      <w:keepLines/>
      <w:spacing w:before="340" w:after="330" w:line="578" w:lineRule="auto"/>
      <w:outlineLvl w:val="0"/>
    </w:pPr>
    <w:rPr>
      <w:b/>
      <w:bCs/>
      <w:kern w:val="44"/>
      <w:sz w:val="44"/>
      <w:szCs w:val="44"/>
    </w:rPr>
  </w:style>
  <w:style w:type="paragraph" w:styleId="4">
    <w:name w:val="heading 2"/>
    <w:basedOn w:val="1"/>
    <w:next w:val="1"/>
    <w:link w:val="24"/>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5">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17">
    <w:name w:val="Default Paragraph Font"/>
    <w:unhideWhenUsed/>
    <w:qFormat/>
    <w:uiPriority w:val="1"/>
  </w:style>
  <w:style w:type="table" w:default="1" w:styleId="15">
    <w:name w:val="Normal Table"/>
    <w:unhideWhenUsed/>
    <w:qFormat/>
    <w:uiPriority w:val="99"/>
    <w:tblPr>
      <w:tblCellMar>
        <w:top w:w="0" w:type="dxa"/>
        <w:left w:w="108" w:type="dxa"/>
        <w:bottom w:w="0" w:type="dxa"/>
        <w:right w:w="108" w:type="dxa"/>
      </w:tblCellMar>
    </w:tblPr>
  </w:style>
  <w:style w:type="paragraph" w:styleId="2">
    <w:name w:val="Body Text"/>
    <w:basedOn w:val="1"/>
    <w:unhideWhenUsed/>
    <w:qFormat/>
    <w:uiPriority w:val="99"/>
    <w:pPr>
      <w:spacing w:line="660" w:lineRule="exact"/>
      <w:jc w:val="center"/>
    </w:pPr>
    <w:rPr>
      <w:rFonts w:eastAsia="黑体"/>
      <w:b/>
      <w:bCs/>
      <w:kern w:val="2"/>
      <w:sz w:val="44"/>
      <w:szCs w:val="24"/>
    </w:rPr>
  </w:style>
  <w:style w:type="paragraph" w:styleId="6">
    <w:name w:val="Normal Indent"/>
    <w:basedOn w:val="1"/>
    <w:unhideWhenUsed/>
    <w:qFormat/>
    <w:uiPriority w:val="99"/>
    <w:pPr>
      <w:spacing w:line="300" w:lineRule="auto"/>
      <w:ind w:firstLine="420"/>
    </w:pPr>
    <w:rPr>
      <w:sz w:val="24"/>
    </w:rPr>
  </w:style>
  <w:style w:type="paragraph" w:styleId="7">
    <w:name w:val="Document Map"/>
    <w:basedOn w:val="1"/>
    <w:link w:val="28"/>
    <w:unhideWhenUsed/>
    <w:qFormat/>
    <w:uiPriority w:val="99"/>
    <w:rPr>
      <w:rFonts w:ascii="宋体"/>
      <w:sz w:val="18"/>
      <w:szCs w:val="18"/>
    </w:rPr>
  </w:style>
  <w:style w:type="paragraph" w:styleId="8">
    <w:name w:val="annotation text"/>
    <w:basedOn w:val="1"/>
    <w:unhideWhenUsed/>
    <w:qFormat/>
    <w:uiPriority w:val="99"/>
    <w:pPr>
      <w:jc w:val="left"/>
    </w:pPr>
  </w:style>
  <w:style w:type="paragraph" w:styleId="9">
    <w:name w:val="Body Text Indent"/>
    <w:basedOn w:val="1"/>
    <w:qFormat/>
    <w:uiPriority w:val="0"/>
    <w:pPr>
      <w:spacing w:after="120"/>
      <w:ind w:left="420" w:leftChars="200"/>
    </w:pPr>
  </w:style>
  <w:style w:type="paragraph" w:styleId="10">
    <w:name w:val="Balloon Text"/>
    <w:basedOn w:val="1"/>
    <w:link w:val="25"/>
    <w:unhideWhenUsed/>
    <w:qFormat/>
    <w:uiPriority w:val="99"/>
    <w:rPr>
      <w:sz w:val="18"/>
      <w:szCs w:val="18"/>
    </w:rPr>
  </w:style>
  <w:style w:type="paragraph" w:styleId="11">
    <w:name w:val="footer"/>
    <w:basedOn w:val="1"/>
    <w:link w:val="21"/>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2">
    <w:name w:val="header"/>
    <w:basedOn w:val="1"/>
    <w:link w:val="2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3">
    <w:name w:val="Normal (Web)"/>
    <w:basedOn w:val="1"/>
    <w:unhideWhenUsed/>
    <w:qFormat/>
    <w:uiPriority w:val="99"/>
    <w:pPr>
      <w:spacing w:beforeAutospacing="1" w:afterAutospacing="1"/>
      <w:jc w:val="left"/>
    </w:pPr>
    <w:rPr>
      <w:kern w:val="0"/>
      <w:sz w:val="24"/>
    </w:rPr>
  </w:style>
  <w:style w:type="paragraph" w:styleId="14">
    <w:name w:val="Body Text First Indent 2"/>
    <w:basedOn w:val="9"/>
    <w:next w:val="1"/>
    <w:qFormat/>
    <w:uiPriority w:val="0"/>
    <w:pPr>
      <w:ind w:left="200" w:firstLine="420" w:firstLineChars="200"/>
    </w:pPr>
    <w:rPr>
      <w:rFonts w:ascii="Times New Roman" w:hAnsi="仿宋" w:eastAsia="黑体"/>
      <w:b/>
      <w:szCs w:val="32"/>
    </w:rPr>
  </w:style>
  <w:style w:type="table" w:styleId="16">
    <w:name w:val="Table Grid"/>
    <w:basedOn w:val="15"/>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Strong"/>
    <w:basedOn w:val="17"/>
    <w:qFormat/>
    <w:uiPriority w:val="0"/>
    <w:rPr>
      <w:b/>
      <w:bCs/>
    </w:rPr>
  </w:style>
  <w:style w:type="character" w:styleId="19">
    <w:name w:val="annotation reference"/>
    <w:basedOn w:val="17"/>
    <w:unhideWhenUsed/>
    <w:qFormat/>
    <w:uiPriority w:val="99"/>
    <w:rPr>
      <w:sz w:val="21"/>
      <w:szCs w:val="21"/>
    </w:rPr>
  </w:style>
  <w:style w:type="character" w:customStyle="1" w:styleId="20">
    <w:name w:val="页眉 Char"/>
    <w:basedOn w:val="17"/>
    <w:link w:val="12"/>
    <w:qFormat/>
    <w:uiPriority w:val="99"/>
    <w:rPr>
      <w:sz w:val="18"/>
      <w:szCs w:val="18"/>
    </w:rPr>
  </w:style>
  <w:style w:type="character" w:customStyle="1" w:styleId="21">
    <w:name w:val="页脚 Char"/>
    <w:basedOn w:val="17"/>
    <w:link w:val="11"/>
    <w:qFormat/>
    <w:uiPriority w:val="99"/>
    <w:rPr>
      <w:sz w:val="18"/>
      <w:szCs w:val="18"/>
    </w:rPr>
  </w:style>
  <w:style w:type="paragraph" w:customStyle="1" w:styleId="22">
    <w:name w:val="列出段落1"/>
    <w:basedOn w:val="1"/>
    <w:qFormat/>
    <w:uiPriority w:val="34"/>
    <w:pPr>
      <w:ind w:firstLine="420" w:firstLineChars="200"/>
    </w:pPr>
  </w:style>
  <w:style w:type="character" w:customStyle="1" w:styleId="23">
    <w:name w:val="标题 1 Char"/>
    <w:basedOn w:val="17"/>
    <w:link w:val="3"/>
    <w:qFormat/>
    <w:uiPriority w:val="9"/>
    <w:rPr>
      <w:rFonts w:ascii="Calibri" w:hAnsi="Calibri" w:eastAsia="宋体" w:cs="Times New Roman"/>
      <w:b/>
      <w:bCs/>
      <w:kern w:val="44"/>
      <w:sz w:val="44"/>
      <w:szCs w:val="44"/>
    </w:rPr>
  </w:style>
  <w:style w:type="character" w:customStyle="1" w:styleId="24">
    <w:name w:val="标题 2 Char"/>
    <w:basedOn w:val="17"/>
    <w:link w:val="4"/>
    <w:qFormat/>
    <w:uiPriority w:val="9"/>
    <w:rPr>
      <w:rFonts w:asciiTheme="majorHAnsi" w:hAnsiTheme="majorHAnsi" w:eastAsiaTheme="majorEastAsia" w:cstheme="majorBidi"/>
      <w:b/>
      <w:bCs/>
      <w:sz w:val="32"/>
      <w:szCs w:val="32"/>
    </w:rPr>
  </w:style>
  <w:style w:type="character" w:customStyle="1" w:styleId="25">
    <w:name w:val="批注框文本 Char"/>
    <w:basedOn w:val="17"/>
    <w:link w:val="10"/>
    <w:semiHidden/>
    <w:qFormat/>
    <w:uiPriority w:val="99"/>
    <w:rPr>
      <w:rFonts w:ascii="Calibri" w:hAnsi="Calibri" w:eastAsia="宋体" w:cs="Times New Roman"/>
      <w:sz w:val="18"/>
      <w:szCs w:val="18"/>
    </w:rPr>
  </w:style>
  <w:style w:type="paragraph" w:customStyle="1" w:styleId="26">
    <w:name w:val="样-正文"/>
    <w:basedOn w:val="1"/>
    <w:qFormat/>
    <w:uiPriority w:val="0"/>
    <w:pPr>
      <w:widowControl/>
      <w:spacing w:line="360" w:lineRule="auto"/>
      <w:ind w:firstLine="200" w:firstLineChars="200"/>
    </w:pPr>
    <w:rPr>
      <w:rFonts w:ascii="Times New Roman" w:hAnsi="Times New Roman"/>
      <w:color w:val="000000"/>
      <w:kern w:val="0"/>
      <w:sz w:val="28"/>
      <w:szCs w:val="28"/>
    </w:rPr>
  </w:style>
  <w:style w:type="character" w:customStyle="1" w:styleId="27">
    <w:name w:val="fontstyle21"/>
    <w:qFormat/>
    <w:uiPriority w:val="0"/>
    <w:rPr>
      <w:rFonts w:hint="eastAsia" w:ascii="仿宋_GB2312" w:eastAsia="仿宋_GB2312"/>
      <w:color w:val="000000"/>
      <w:sz w:val="30"/>
      <w:szCs w:val="30"/>
    </w:rPr>
  </w:style>
  <w:style w:type="character" w:customStyle="1" w:styleId="28">
    <w:name w:val="文档结构图 Char"/>
    <w:basedOn w:val="17"/>
    <w:link w:val="7"/>
    <w:semiHidden/>
    <w:qFormat/>
    <w:uiPriority w:val="99"/>
    <w:rPr>
      <w:rFonts w:ascii="宋体" w:hAnsi="Calibri"/>
      <w:kern w:val="2"/>
      <w:sz w:val="18"/>
      <w:szCs w:val="18"/>
    </w:rPr>
  </w:style>
  <w:style w:type="paragraph" w:customStyle="1" w:styleId="29">
    <w:name w:val="BodyText1I2"/>
    <w:qFormat/>
    <w:uiPriority w:val="0"/>
    <w:pPr>
      <w:spacing w:after="120"/>
      <w:ind w:left="420" w:leftChars="200" w:firstLine="420"/>
      <w:jc w:val="both"/>
      <w:textAlignment w:val="baseline"/>
    </w:pPr>
    <w:rPr>
      <w:rFonts w:ascii="Times New Roman" w:hAnsi="Times New Roman" w:eastAsia="宋体" w:cs="Times New Roman"/>
      <w:sz w:val="21"/>
      <w:szCs w:val="22"/>
      <w:lang w:val="en-US" w:eastAsia="zh-CN" w:bidi="ar-SA"/>
    </w:rPr>
  </w:style>
  <w:style w:type="paragraph" w:customStyle="1" w:styleId="30">
    <w:name w:val="Body text|1"/>
    <w:basedOn w:val="1"/>
    <w:qFormat/>
    <w:uiPriority w:val="0"/>
    <w:pPr>
      <w:spacing w:line="413" w:lineRule="auto"/>
      <w:ind w:firstLine="400"/>
    </w:pPr>
    <w:rPr>
      <w:rFonts w:ascii="宋体" w:hAnsi="宋体" w:cs="宋体"/>
      <w:sz w:val="30"/>
      <w:szCs w:val="30"/>
      <w:lang w:val="zh-TW" w:eastAsia="zh-TW" w:bidi="zh-TW"/>
    </w:rPr>
  </w:style>
  <w:style w:type="paragraph" w:customStyle="1" w:styleId="31">
    <w:name w:val="p0"/>
    <w:basedOn w:val="1"/>
    <w:qFormat/>
    <w:uiPriority w:val="0"/>
    <w:pPr>
      <w:widowControl/>
    </w:pPr>
    <w:rPr>
      <w:kern w:val="0"/>
      <w:sz w:val="32"/>
      <w:szCs w:val="32"/>
    </w:rPr>
  </w:style>
  <w:style w:type="paragraph" w:customStyle="1" w:styleId="32">
    <w:name w:val="正文2"/>
    <w:basedOn w:val="1"/>
    <w:link w:val="33"/>
    <w:qFormat/>
    <w:uiPriority w:val="0"/>
    <w:pPr>
      <w:spacing w:line="360" w:lineRule="auto"/>
      <w:ind w:firstLine="560" w:firstLineChars="200"/>
    </w:pPr>
    <w:rPr>
      <w:rFonts w:ascii="Times New Roman" w:hAnsi="Times New Roman" w:eastAsia="仿宋_GB2312" w:cs="Times New Roman"/>
      <w:sz w:val="30"/>
      <w:szCs w:val="30"/>
    </w:rPr>
  </w:style>
  <w:style w:type="character" w:customStyle="1" w:styleId="33">
    <w:name w:val="正文2 Char Char"/>
    <w:link w:val="32"/>
    <w:qFormat/>
    <w:uiPriority w:val="0"/>
    <w:rPr>
      <w:rFonts w:ascii="Times New Roman" w:hAnsi="Times New Roman" w:eastAsia="仿宋_GB2312" w:cs="Times New Roman"/>
      <w:sz w:val="30"/>
      <w:szCs w:val="3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B02E1FC-08DE-495B-ACFD-BAF046585E66}">
  <ds:schemaRefs/>
</ds:datastoreItem>
</file>

<file path=docProps/app.xml><?xml version="1.0" encoding="utf-8"?>
<Properties xmlns="http://schemas.openxmlformats.org/officeDocument/2006/extended-properties" xmlns:vt="http://schemas.openxmlformats.org/officeDocument/2006/docPropsVTypes">
  <Template>Normal</Template>
  <Company>HP</Company>
  <Pages>44</Pages>
  <Words>24477</Words>
  <Characters>24994</Characters>
  <Lines>50</Lines>
  <Paragraphs>14</Paragraphs>
  <TotalTime>6</TotalTime>
  <ScaleCrop>false</ScaleCrop>
  <LinksUpToDate>false</LinksUpToDate>
  <CharactersWithSpaces>25258</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2021-05-25T06:47:00Z</dcterms:created>
  <dc:creator>xtzj</dc:creator>
  <cp:lastModifiedBy>下个路口见</cp:lastModifiedBy>
  <cp:lastPrinted>2022-04-12T01:18:00Z</cp:lastPrinted>
  <dcterms:modified xsi:type="dcterms:W3CDTF">2022-12-21T06:31:33Z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137A153CF0414525A9A5E684073A3802</vt:lpwstr>
  </property>
  <property fmtid="{D5CDD505-2E9C-101B-9397-08002B2CF9AE}" pid="4" name="KSOSaveFontToCloudKey">
    <vt:lpwstr>453811477_btnclosed</vt:lpwstr>
  </property>
</Properties>
</file>